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1488" w14:textId="77777777" w:rsidR="00B916CF" w:rsidRPr="00B958C4" w:rsidRDefault="00B047BA" w:rsidP="004D35F3">
      <w:pPr>
        <w:pStyle w:val="Normal1"/>
        <w:spacing w:before="240" w:line="240" w:lineRule="auto"/>
        <w:jc w:val="center"/>
        <w:rPr>
          <w:rFonts w:ascii="Times New Roman" w:eastAsia="Times New Roman" w:hAnsi="Times New Roman" w:cs="Times New Roman"/>
          <w:b/>
          <w:sz w:val="32"/>
          <w:szCs w:val="32"/>
        </w:rPr>
      </w:pPr>
      <w:r w:rsidRPr="00B958C4">
        <w:rPr>
          <w:rFonts w:ascii="Times New Roman" w:eastAsia="Times New Roman" w:hAnsi="Times New Roman" w:cs="Times New Roman"/>
          <w:b/>
          <w:sz w:val="32"/>
          <w:szCs w:val="32"/>
        </w:rPr>
        <w:t>Twelve Reasons to Oppose Rules on Digital Commerce in the WTO</w:t>
      </w:r>
    </w:p>
    <w:p w14:paraId="16A91730" w14:textId="50A862F1" w:rsidR="00994C68" w:rsidRDefault="00C37D76" w:rsidP="004D35F3">
      <w:pPr>
        <w:pStyle w:val="Normal1"/>
        <w:spacing w:before="240" w:line="240" w:lineRule="auto"/>
        <w:rPr>
          <w:rFonts w:ascii="Times New Roman" w:eastAsia="Times New Roman" w:hAnsi="Times New Roman" w:cs="Times New Roman"/>
          <w:sz w:val="24"/>
          <w:szCs w:val="24"/>
        </w:rPr>
      </w:pPr>
      <w:hyperlink r:id="rId8" w:history="1">
        <w:r w:rsidR="00132E2A" w:rsidRPr="00B27969">
          <w:rPr>
            <w:rStyle w:val="Hyperlink"/>
            <w:rFonts w:ascii="Times New Roman" w:eastAsia="Times New Roman" w:hAnsi="Times New Roman" w:cs="Times New Roman"/>
            <w:sz w:val="24"/>
            <w:szCs w:val="24"/>
          </w:rPr>
          <w:t>http://www.huffingtonpost.com/entry/5915db61e4b0bd90f8e6a48a</w:t>
        </w:r>
      </w:hyperlink>
    </w:p>
    <w:p w14:paraId="763673EE" w14:textId="2745802D"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Deborah James</w:t>
      </w:r>
      <w:r w:rsidR="00994C68">
        <w:rPr>
          <w:rFonts w:ascii="Times New Roman" w:eastAsia="Times New Roman" w:hAnsi="Times New Roman" w:cs="Times New Roman"/>
          <w:sz w:val="24"/>
          <w:szCs w:val="24"/>
        </w:rPr>
        <w:t>, May 12, 2017</w:t>
      </w:r>
      <w:r w:rsidR="00A83B88">
        <w:rPr>
          <w:rFonts w:ascii="Times New Roman" w:eastAsia="Times New Roman" w:hAnsi="Times New Roman" w:cs="Times New Roman"/>
          <w:sz w:val="24"/>
          <w:szCs w:val="24"/>
        </w:rPr>
        <w:t xml:space="preserve">, </w:t>
      </w:r>
      <w:r w:rsidR="00A83B88" w:rsidRPr="00A83B88">
        <w:rPr>
          <w:rFonts w:ascii="Times New Roman" w:eastAsia="Times New Roman" w:hAnsi="Times New Roman" w:cs="Times New Roman"/>
          <w:i/>
          <w:sz w:val="24"/>
          <w:szCs w:val="24"/>
        </w:rPr>
        <w:t>Huffington Post</w:t>
      </w:r>
      <w:r>
        <w:rPr>
          <w:rFonts w:ascii="Times New Roman" w:eastAsia="Times New Roman" w:hAnsi="Times New Roman" w:cs="Times New Roman"/>
          <w:sz w:val="24"/>
          <w:szCs w:val="24"/>
        </w:rPr>
        <w:tab/>
      </w:r>
    </w:p>
    <w:p w14:paraId="220A5917" w14:textId="77777777"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High-tech US-based transnational companies (TNCs) now represent five of the top seven largest corporations in the world, dominating information (Google, number 2), media (Facebook, number 7), retail (Amazon, number 6), and technology (Apple, number 1 and Microsoft, number 3), according to the World Economic Forum.</w:t>
      </w:r>
    </w:p>
    <w:p w14:paraId="020882ED" w14:textId="77777777"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investments one of these companies can make is to change the rules under which it operates so that it can extract greater profits from the global economy while preventing their competitors from having a level playing field. They have long used trade</w:t>
      </w:r>
      <w:r w:rsidR="009435C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greements to lock in rules favoring their “rights” to make profits, while limiting governments’ ability to regulate them in the public interest, often in ways that could not advance</w:t>
      </w:r>
      <w:r w:rsidR="00943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through normal democratic channels.</w:t>
      </w:r>
      <w:r>
        <w:rPr>
          <w:rFonts w:ascii="Times New Roman" w:eastAsia="Times New Roman" w:hAnsi="Times New Roman" w:cs="Times New Roman"/>
          <w:sz w:val="24"/>
          <w:szCs w:val="24"/>
        </w:rPr>
        <w:br/>
      </w:r>
    </w:p>
    <w:p w14:paraId="1B938116"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have heard of the Tran</w:t>
      </w:r>
      <w:r w:rsidR="009435CB">
        <w:rPr>
          <w:rFonts w:ascii="Times New Roman" w:eastAsia="Times New Roman" w:hAnsi="Times New Roman" w:cs="Times New Roman"/>
          <w:sz w:val="24"/>
          <w:szCs w:val="24"/>
        </w:rPr>
        <w:t xml:space="preserve">s-Pacific Partnership (TPP), a </w:t>
      </w:r>
      <w:r>
        <w:rPr>
          <w:rFonts w:ascii="Times New Roman" w:eastAsia="Times New Roman" w:hAnsi="Times New Roman" w:cs="Times New Roman"/>
          <w:sz w:val="24"/>
          <w:szCs w:val="24"/>
        </w:rPr>
        <w:t>trade</w:t>
      </w:r>
      <w:r w:rsidR="00943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agreement negotiated by the Obama administration that was signed in 2016 but that never enjoyed enough congressional support to be submitted for a vote. The TPP was the first “trade” agreement to include </w:t>
      </w:r>
      <w:r w:rsidR="009435CB">
        <w:rPr>
          <w:rFonts w:ascii="Times New Roman" w:eastAsia="Times New Roman" w:hAnsi="Times New Roman" w:cs="Times New Roman"/>
          <w:sz w:val="24"/>
          <w:szCs w:val="24"/>
        </w:rPr>
        <w:t xml:space="preserve">extensive </w:t>
      </w:r>
      <w:r>
        <w:rPr>
          <w:rFonts w:ascii="Times New Roman" w:eastAsia="Times New Roman" w:hAnsi="Times New Roman" w:cs="Times New Roman"/>
          <w:sz w:val="24"/>
          <w:szCs w:val="24"/>
        </w:rPr>
        <w:t>binding, so-called twenty-first-century rules for a package of digital issues, bundled under the title of “e-commerce.” While this label evokes a great way of promoting small and medium businesses’ ability to increase online sales, in reality it would have restricted countries’ right to regulate areas such as privacy and consumer protection, cross-border data transfers, net neutrality, and other issues of Internet governance (along with competition policy, intellectual property, and many other issues). Given that there are existing forums, from the Internet Governance Forum to the World Summit on the Information Society, in which businesses, governments, engineers, and civil society experts have long grappled over Internet issues in a multi</w:t>
      </w:r>
      <w:r w:rsidR="009435CB">
        <w:rPr>
          <w:rFonts w:ascii="Times New Roman" w:eastAsia="Times New Roman" w:hAnsi="Times New Roman" w:cs="Times New Roman"/>
          <w:sz w:val="24"/>
          <w:szCs w:val="24"/>
        </w:rPr>
        <w:t>-</w:t>
      </w:r>
      <w:r>
        <w:rPr>
          <w:rFonts w:ascii="Times New Roman" w:eastAsia="Times New Roman" w:hAnsi="Times New Roman" w:cs="Times New Roman"/>
          <w:sz w:val="24"/>
          <w:szCs w:val="24"/>
        </w:rPr>
        <w:t>stakeholder format, the TPP’s attempted foray into these areas represented a corporate end-run around democracy and good governance. Not surprisingly, it was criticized by groups such as the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Open Digital Trade Network</w:t>
        </w:r>
      </w:hyperlink>
      <w:r>
        <w:rPr>
          <w:rFonts w:ascii="Times New Roman" w:eastAsia="Times New Roman" w:hAnsi="Times New Roman" w:cs="Times New Roman"/>
          <w:sz w:val="24"/>
          <w:szCs w:val="24"/>
        </w:rPr>
        <w:t>.</w:t>
      </w:r>
    </w:p>
    <w:p w14:paraId="04CBEB4F"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0EF6AA" w14:textId="04FBD8CE"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 abandoned the smoldering corpse of the TPP, but nearly identical provisions had been previously revealed in the proposed Trade in Services Agreement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xml:space="preserve">). The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xml:space="preserve"> is intended to lock in deregulation and privatization as designed by major technology, financial, logistics, and retail corporations for 50 participating countries. Although little known, the major obstacle that prevented negotiators from concluding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xml:space="preserve"> negotiations during the twenty-second round in December 2016 was a major fight between the EU and the US over data privacy versus corporations’ desire for new “rights” to move data across the globe and to profit from their use without restrictions. (The EU has a strong system of rights on privacy and data protection, whereas the United States’ official policy favors the wishes of Google, Amazon, and other corporations over consumer protections.) Unfortunately, Trump has not abandoned the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xml:space="preserve">, and he actually appears poised to jump-start the deal again soon. This should surprise no one who has noticed the gradual takeover by the Goldman Sachs wing of the administration. (I have written extensively about the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including</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and</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and why it is a threat to jobs and to Trump’s base</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3F199DBE"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C54E86"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Commerce Secretary Wilbur Ross has also argued that the renegotiation of the North American Free Trade Agreement (NAFTA) should include updating it with e-commerce rules from the TPP, and Trump </w:t>
      </w:r>
      <w:r>
        <w:rPr>
          <w:rFonts w:ascii="Times New Roman" w:eastAsia="Times New Roman" w:hAnsi="Times New Roman" w:cs="Times New Roman"/>
          <w:sz w:val="24"/>
          <w:szCs w:val="24"/>
        </w:rPr>
        <w:lastRenderedPageBreak/>
        <w:t>himself has mentioned the desire to “knock down barriers to trade” for giant technology companies that are increasingly bending his ear.</w:t>
      </w:r>
    </w:p>
    <w:p w14:paraId="306255FA"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8935DB"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it turns out, the corporations behind the push for e-commerce</w:t>
      </w:r>
      <w:r w:rsidR="00943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rules are forum </w:t>
      </w:r>
      <w:r w:rsidR="009435CB">
        <w:rPr>
          <w:rFonts w:ascii="Times New Roman" w:eastAsia="Times New Roman" w:hAnsi="Times New Roman" w:cs="Times New Roman"/>
          <w:sz w:val="24"/>
          <w:szCs w:val="24"/>
        </w:rPr>
        <w:t>shopping,</w:t>
      </w:r>
      <w:r>
        <w:rPr>
          <w:rFonts w:ascii="Times New Roman" w:eastAsia="Times New Roman" w:hAnsi="Times New Roman" w:cs="Times New Roman"/>
          <w:sz w:val="24"/>
          <w:szCs w:val="24"/>
        </w:rPr>
        <w:t xml:space="preserve"> and have brought their wish list to the Organization for Economic Cooperation and Development, which has published</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policy guidance</w:t>
        </w:r>
      </w:hyperlink>
      <w:r>
        <w:rPr>
          <w:rFonts w:ascii="Times New Roman" w:eastAsia="Times New Roman" w:hAnsi="Times New Roman" w:cs="Times New Roman"/>
          <w:sz w:val="24"/>
          <w:szCs w:val="24"/>
        </w:rPr>
        <w:t xml:space="preserve"> on a variety of related issues; and to the G20, which just released its</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Digital Economy Ministerial Declaration</w:t>
        </w:r>
      </w:hyperlink>
      <w:r>
        <w:rPr>
          <w:rFonts w:ascii="Times New Roman" w:eastAsia="Times New Roman" w:hAnsi="Times New Roman" w:cs="Times New Roman"/>
          <w:sz w:val="24"/>
          <w:szCs w:val="24"/>
        </w:rPr>
        <w:t xml:space="preserve"> [PDF]. However, agreements among members of these institutions are not binding on governments. To obtain enforceable e-commerce rules, corporations are going to the World Trade Organization (WTO). Since July 2016, e-commerce has been the top issue pushed by developed countries in WTO negotiations. If discussions lead to a mandate for negotiations, the new rules would subject citizens of the WTO’s 164 member countries to their far-reaching globe-altering, job-smashing, and potentially development-preventing implications.</w:t>
      </w:r>
    </w:p>
    <w:p w14:paraId="75E3EAD2"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B47971" w14:textId="004323DF"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countries, which make up the great majority of WTO members, have, since its inception in 1995 demanded a series of changes to existing WTO rules as they realized existing WTO rules were antithetical to their development. A series of 100 proposals (mostly to remove rules from the WTO that constrain the use of development strategies) were folded into the Doha Round, (which was then dubbed the Doha Development Agenda in an effort to convince developing countries that this round of talks would focus on helping them use trade for development). Most egregious and in need of transformation, are agriculture rules, which allow rich countries to subsidize producers and to export subsidized products to the detriment of developing country farmers, who are not allowed to receive government subsidies even for domestic production.</w:t>
      </w:r>
    </w:p>
    <w:p w14:paraId="7DA3C754"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22D535" w14:textId="614DF8EA"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since then developing countries’ proposals have rarely been discussed, while rich countries have imposed a</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different agenda</w:t>
        </w:r>
      </w:hyperlink>
      <w:r>
        <w:rPr>
          <w:rFonts w:ascii="Times New Roman" w:eastAsia="Times New Roman" w:hAnsi="Times New Roman" w:cs="Times New Roman"/>
          <w:sz w:val="24"/>
          <w:szCs w:val="24"/>
        </w:rPr>
        <w:t xml:space="preserve"> of increased liberalization, more corporate rights, and limiting opportunities for countries to use the same policies that rich countries used to develop.</w:t>
      </w:r>
    </w:p>
    <w:p w14:paraId="465A171D"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9358A9B" w14:textId="10B2B8AD"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Industrialized countries now face crises because of the negative impacts of 20 years of job-killing trade agreements. Yet their trade negotiators push ahead to entrench a set of rules that go far beyond online retail sales, and that must be understood as an effort to shape the entire digitized economy of the future to corporations’ benefit.</w:t>
      </w:r>
    </w:p>
    <w:p w14:paraId="66131254"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B31F4C" w14:textId="1E83CAD2"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Nearly a dozen proposals have circulated in the WTO, many with overlapping provisions, designed around a borderless, digitized global economy in which major financial, technology, logistics, and other corporations can move labor, capital, inputs, and data seamlessly across time and space without restriction, opening new markets while limiting obligations on corporations to ensure that workers, communities, or countries benefit from their activities.</w:t>
      </w:r>
    </w:p>
    <w:p w14:paraId="66C466F9"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AF396C" w14:textId="58725044"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Proponents disguise their proposals in the Trojan Horse of being necessary to “unleash development though the power of small- and medium-sized enterprises (SMEs) using e-commerce.” Of course, e-commerce can be a force for job-creation and development, and certainly has the power to expand innovation, increase consumer choice, connect remote producers and consumers, and increase global connectedness. But this is not the same as having binding global rules written by Google for its benefit.</w:t>
      </w:r>
    </w:p>
    <w:p w14:paraId="383AAB58"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CC10E8" w14:textId="09D5E78A"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recently attended a forum on e-commerce of the UN Conference on Trade and Development (UNCTAD) that was well attended by corporate representatives masquerading as development experts. “E-commerce” </w:t>
      </w:r>
      <w:r>
        <w:rPr>
          <w:rFonts w:ascii="Calibri" w:eastAsia="Calibri" w:hAnsi="Calibri" w:cs="Calibri"/>
        </w:rPr>
        <w:t>—</w:t>
      </w:r>
      <w:r>
        <w:rPr>
          <w:rFonts w:ascii="Times New Roman" w:eastAsia="Times New Roman" w:hAnsi="Times New Roman" w:cs="Times New Roman"/>
          <w:sz w:val="24"/>
          <w:szCs w:val="24"/>
        </w:rPr>
        <w:t xml:space="preserve"> as in getting more citizens online, or facilitating rural Bangladeshi women selling homemade products directly to UK consumers </w:t>
      </w:r>
      <w:r>
        <w:rPr>
          <w:rFonts w:ascii="Calibri" w:eastAsia="Calibri" w:hAnsi="Calibri" w:cs="Calibri"/>
        </w:rPr>
        <w:t>—</w:t>
      </w:r>
      <w:r>
        <w:rPr>
          <w:rFonts w:ascii="Times New Roman" w:eastAsia="Times New Roman" w:hAnsi="Times New Roman" w:cs="Times New Roman"/>
          <w:sz w:val="24"/>
          <w:szCs w:val="24"/>
        </w:rPr>
        <w:t xml:space="preserve"> was not only held up as a silver bullet to solve every development challenge under the sun, but was also </w:t>
      </w:r>
      <w:r w:rsidR="00A8599C">
        <w:rPr>
          <w:rFonts w:ascii="Times New Roman" w:eastAsia="Times New Roman" w:hAnsi="Times New Roman" w:cs="Times New Roman"/>
          <w:sz w:val="24"/>
          <w:szCs w:val="24"/>
        </w:rPr>
        <w:t xml:space="preserve">conflated with </w:t>
      </w:r>
      <w:r>
        <w:rPr>
          <w:rFonts w:ascii="Times New Roman" w:eastAsia="Times New Roman" w:hAnsi="Times New Roman" w:cs="Times New Roman"/>
          <w:sz w:val="24"/>
          <w:szCs w:val="24"/>
        </w:rPr>
        <w:t>binding rules in the WTO on ‘e-</w:t>
      </w:r>
      <w:r>
        <w:rPr>
          <w:rFonts w:ascii="Times New Roman" w:eastAsia="Times New Roman" w:hAnsi="Times New Roman" w:cs="Times New Roman"/>
          <w:sz w:val="24"/>
          <w:szCs w:val="24"/>
        </w:rPr>
        <w:lastRenderedPageBreak/>
        <w:t>commerce’ which include allowing foreign TNCs unrestricted access to domestic market</w:t>
      </w:r>
      <w:r w:rsidR="00A8599C">
        <w:rPr>
          <w:rFonts w:ascii="Times New Roman" w:eastAsia="Times New Roman" w:hAnsi="Times New Roman" w:cs="Times New Roman"/>
          <w:sz w:val="24"/>
          <w:szCs w:val="24"/>
        </w:rPr>
        <w:t>s according to their own rules.</w:t>
      </w:r>
      <w:r>
        <w:rPr>
          <w:rFonts w:ascii="Times New Roman" w:eastAsia="Times New Roman" w:hAnsi="Times New Roman" w:cs="Times New Roman"/>
          <w:sz w:val="24"/>
          <w:szCs w:val="24"/>
        </w:rPr>
        <w:t xml:space="preserve"> But SMEs are the least likely to be able to compete with giant TNCs, which enjoy the benefits of scale, historic subsidies, technological advances, strong state-sponsored infrastructure, and a system of trade rules written by their lawyers. E-commerce in the WTO is a bait and switch.</w:t>
      </w:r>
    </w:p>
    <w:p w14:paraId="58B16820"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47748" w14:textId="5C747E5F"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concerned about jobs, decent work, our shared environment, development, inequality, and the public interest, here are 12 reasons to oppose new negotiations on “</w:t>
      </w:r>
      <w:r w:rsidR="00274751">
        <w:rPr>
          <w:rFonts w:ascii="Times New Roman" w:eastAsia="Times New Roman" w:hAnsi="Times New Roman" w:cs="Times New Roman"/>
          <w:sz w:val="24"/>
          <w:szCs w:val="24"/>
        </w:rPr>
        <w:t>e-commerce” rules in the WTO.</w:t>
      </w:r>
      <w:r w:rsidR="00274751">
        <w:rPr>
          <w:rStyle w:val="FootnoteReference"/>
          <w:rFonts w:ascii="Times New Roman" w:eastAsia="Times New Roman" w:hAnsi="Times New Roman" w:cs="Times New Roman"/>
          <w:sz w:val="24"/>
          <w:szCs w:val="24"/>
        </w:rPr>
        <w:footnoteReference w:id="1"/>
      </w:r>
    </w:p>
    <w:p w14:paraId="4590CEF6"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6089FC" w14:textId="487A6C1A"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Talks on e-commerce are pushing aside a development agenda that could dramatically reduce poverty</w:t>
      </w:r>
      <w:r>
        <w:rPr>
          <w:rFonts w:ascii="Times New Roman" w:eastAsia="Times New Roman" w:hAnsi="Times New Roman" w:cs="Times New Roman"/>
          <w:sz w:val="24"/>
          <w:szCs w:val="24"/>
        </w:rPr>
        <w:t>. Millions of impoverished people, including farmers, could see their lives improve if changes were made to the existing rules on agriculture in the WTO, which I have written about</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and</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The global Our World Is Not for Sale (OWINFS) network has long promoted a</w:t>
      </w:r>
      <w:hyperlink r:id="rId28">
        <w:r>
          <w:rPr>
            <w:rFonts w:ascii="Times New Roman" w:eastAsia="Times New Roman" w:hAnsi="Times New Roman" w:cs="Times New Roman"/>
            <w:sz w:val="24"/>
            <w:szCs w:val="24"/>
          </w:rPr>
          <w:t xml:space="preserve"> </w:t>
        </w:r>
      </w:hyperlink>
      <w:hyperlink r:id="rId29" w:history="1">
        <w:r>
          <w:rPr>
            <w:rFonts w:ascii="Times New Roman" w:eastAsia="Times New Roman" w:hAnsi="Times New Roman" w:cs="Times New Roman"/>
            <w:color w:val="1155CC"/>
            <w:sz w:val="24"/>
            <w:szCs w:val="24"/>
            <w:u w:val="single"/>
          </w:rPr>
          <w:t>t</w:t>
        </w:r>
      </w:hyperlink>
      <w:hyperlink r:id="rId30">
        <w:r>
          <w:rPr>
            <w:rFonts w:ascii="Times New Roman" w:eastAsia="Times New Roman" w:hAnsi="Times New Roman" w:cs="Times New Roman"/>
            <w:color w:val="1155CC"/>
            <w:sz w:val="24"/>
            <w:szCs w:val="24"/>
            <w:u w:val="single"/>
          </w:rPr>
          <w:t xml:space="preserve">urnaround </w:t>
        </w:r>
      </w:hyperlink>
      <w:hyperlink r:id="rId31" w:history="1">
        <w:r>
          <w:rPr>
            <w:rFonts w:ascii="Times New Roman" w:eastAsia="Times New Roman" w:hAnsi="Times New Roman" w:cs="Times New Roman"/>
            <w:color w:val="1155CC"/>
            <w:sz w:val="24"/>
            <w:szCs w:val="24"/>
            <w:u w:val="single"/>
          </w:rPr>
          <w:t>a</w:t>
        </w:r>
      </w:hyperlink>
      <w:hyperlink r:id="rId32">
        <w:r>
          <w:rPr>
            <w:rFonts w:ascii="Times New Roman" w:eastAsia="Times New Roman" w:hAnsi="Times New Roman" w:cs="Times New Roman"/>
            <w:color w:val="1155CC"/>
            <w:sz w:val="24"/>
            <w:szCs w:val="24"/>
            <w:u w:val="single"/>
          </w:rPr>
          <w:t>genda</w:t>
        </w:r>
      </w:hyperlink>
      <w:r>
        <w:rPr>
          <w:rFonts w:ascii="Times New Roman" w:eastAsia="Times New Roman" w:hAnsi="Times New Roman" w:cs="Times New Roman"/>
          <w:sz w:val="24"/>
          <w:szCs w:val="24"/>
        </w:rPr>
        <w:t xml:space="preserve"> (endorsed by hundreds of civil society groups) through a range of similar demands. But this agenda has received scant attention while all eyes focus on e-commerce” in the WTO this year. In fact, developed countries are likely to require starting “e-commerce negotiations as “payment” for </w:t>
      </w:r>
      <w:r w:rsidR="00A8599C">
        <w:rPr>
          <w:rFonts w:ascii="Times New Roman" w:eastAsia="Times New Roman" w:hAnsi="Times New Roman" w:cs="Times New Roman"/>
          <w:sz w:val="24"/>
          <w:szCs w:val="24"/>
        </w:rPr>
        <w:t>developed countries to agree to deliver</w:t>
      </w:r>
      <w:r>
        <w:rPr>
          <w:rFonts w:ascii="Times New Roman" w:eastAsia="Times New Roman" w:hAnsi="Times New Roman" w:cs="Times New Roman"/>
          <w:sz w:val="24"/>
          <w:szCs w:val="24"/>
        </w:rPr>
        <w:t xml:space="preserve"> on the </w:t>
      </w:r>
      <w:r w:rsidR="00A8599C">
        <w:rPr>
          <w:rFonts w:ascii="Times New Roman" w:eastAsia="Times New Roman" w:hAnsi="Times New Roman" w:cs="Times New Roman"/>
          <w:sz w:val="24"/>
          <w:szCs w:val="24"/>
        </w:rPr>
        <w:t>promises</w:t>
      </w:r>
      <w:r>
        <w:rPr>
          <w:rFonts w:ascii="Times New Roman" w:eastAsia="Times New Roman" w:hAnsi="Times New Roman" w:cs="Times New Roman"/>
          <w:sz w:val="24"/>
          <w:szCs w:val="24"/>
        </w:rPr>
        <w:t xml:space="preserve"> that they have failed to </w:t>
      </w:r>
      <w:r w:rsidR="00A8599C">
        <w:rPr>
          <w:rFonts w:ascii="Times New Roman" w:eastAsia="Times New Roman" w:hAnsi="Times New Roman" w:cs="Times New Roman"/>
          <w:sz w:val="24"/>
          <w:szCs w:val="24"/>
        </w:rPr>
        <w:t>fulfill</w:t>
      </w:r>
      <w:r>
        <w:rPr>
          <w:rFonts w:ascii="Times New Roman" w:eastAsia="Times New Roman" w:hAnsi="Times New Roman" w:cs="Times New Roman"/>
          <w:sz w:val="24"/>
          <w:szCs w:val="24"/>
        </w:rPr>
        <w:t xml:space="preserve"> since 2001 </w:t>
      </w:r>
      <w:r>
        <w:rPr>
          <w:rFonts w:ascii="Calibri" w:eastAsia="Calibri" w:hAnsi="Calibri" w:cs="Calibri"/>
        </w:rPr>
        <w:t>—</w:t>
      </w:r>
      <w:r>
        <w:rPr>
          <w:rFonts w:ascii="Times New Roman" w:eastAsia="Times New Roman" w:hAnsi="Times New Roman" w:cs="Times New Roman"/>
          <w:sz w:val="24"/>
          <w:szCs w:val="24"/>
        </w:rPr>
        <w:t xml:space="preserve"> when the so-called Development Round was launched.</w:t>
      </w:r>
    </w:p>
    <w:p w14:paraId="159A617D"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9AC330" w14:textId="5436D305"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E-commerce proposals are premature rule-making</w:t>
      </w:r>
      <w:r>
        <w:rPr>
          <w:rFonts w:ascii="Times New Roman" w:eastAsia="Times New Roman" w:hAnsi="Times New Roman" w:cs="Times New Roman"/>
          <w:sz w:val="24"/>
          <w:szCs w:val="24"/>
        </w:rPr>
        <w:t xml:space="preserve">. US companies seek to rewrite the global rulebook to lock in their current dominance in the field. Despite near-total supremacy in high tech, they want to undermine China’s resurgence as a global player, as it invests billions to develop high tech sectors under its “Made in China 2025” plan. US corporations also seek to lock out other potential future competitors. Thus all 164 WTO members are being pushed to negotiate on issues before most of them have much understanding of potential consequences. Developing countries generally lack experience with many of the technologies being </w:t>
      </w:r>
      <w:r w:rsidR="00A8599C">
        <w:rPr>
          <w:rFonts w:ascii="Times New Roman" w:eastAsia="Times New Roman" w:hAnsi="Times New Roman" w:cs="Times New Roman"/>
          <w:sz w:val="24"/>
          <w:szCs w:val="24"/>
        </w:rPr>
        <w:t>discussed</w:t>
      </w:r>
      <w:r>
        <w:rPr>
          <w:rFonts w:ascii="Times New Roman" w:eastAsia="Times New Roman" w:hAnsi="Times New Roman" w:cs="Times New Roman"/>
          <w:sz w:val="24"/>
          <w:szCs w:val="24"/>
        </w:rPr>
        <w:t>, so they do not know what is the “best practice” with regard to a wide range of activities. Even the World Bank’s “</w:t>
      </w:r>
      <w:r w:rsidRPr="00A8599C">
        <w:rPr>
          <w:rFonts w:ascii="Times New Roman" w:eastAsia="Times New Roman" w:hAnsi="Times New Roman" w:cs="Times New Roman"/>
          <w:sz w:val="24"/>
          <w:szCs w:val="24"/>
        </w:rPr>
        <w:t>World Development Re</w:t>
      </w:r>
      <w:r w:rsidR="00274751">
        <w:rPr>
          <w:rFonts w:ascii="Times New Roman" w:eastAsia="Times New Roman" w:hAnsi="Times New Roman" w:cs="Times New Roman"/>
          <w:sz w:val="24"/>
          <w:szCs w:val="24"/>
        </w:rPr>
        <w:t>port 2016: Digital Dividends”</w:t>
      </w:r>
      <w:r w:rsidR="00274751">
        <w:rPr>
          <w:rStyle w:val="FootnoteReference"/>
          <w:rFonts w:ascii="Times New Roman" w:eastAsia="Times New Roman" w:hAnsi="Times New Roman" w:cs="Times New Roman"/>
          <w:sz w:val="24"/>
          <w:szCs w:val="24"/>
        </w:rPr>
        <w:footnoteReference w:id="2"/>
      </w:r>
      <w:r w:rsidR="0027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noted that development benefits from digital technologies have lagged behind their rapid spread, and that few developing countries count on the requisite broadband access and other infrastructure, regulatory frameworks, human capital, and accountable institutions to reap the benefits. Recent UNCTAD reports show that a majority of developing countries do not have an adequate legal structure regarding digital trade, Internet governance, or cyber</w:t>
      </w:r>
      <w:r w:rsidR="00FA23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security. Even US and EU rules on many of these issues have yet to mature. The benefits of digitalization could be immense for all, but not if the rules are tilted in favor of the powerful. That is why the WTO’s Africa Group </w:t>
      </w:r>
      <w:hyperlink r:id="rId33" w:history="1">
        <w:r w:rsidRPr="005F74A6">
          <w:rPr>
            <w:rStyle w:val="Hyperlink"/>
            <w:rFonts w:ascii="Times New Roman" w:eastAsia="Times New Roman" w:hAnsi="Times New Roman" w:cs="Times New Roman"/>
            <w:sz w:val="24"/>
            <w:szCs w:val="24"/>
          </w:rPr>
          <w:t>opposed establishing a mandate on</w:t>
        </w:r>
        <w:r w:rsidR="005F74A6" w:rsidRPr="005F74A6">
          <w:rPr>
            <w:rStyle w:val="Hyperlink"/>
            <w:rFonts w:ascii="Times New Roman" w:eastAsia="Times New Roman" w:hAnsi="Times New Roman" w:cs="Times New Roman"/>
            <w:sz w:val="24"/>
            <w:szCs w:val="24"/>
          </w:rPr>
          <w:t xml:space="preserve"> e-commerce rules</w:t>
        </w:r>
      </w:hyperlink>
      <w:r w:rsidR="00274751">
        <w:rPr>
          <w:rFonts w:ascii="Times New Roman" w:eastAsia="Times New Roman" w:hAnsi="Times New Roman" w:cs="Times New Roman"/>
          <w:sz w:val="24"/>
          <w:szCs w:val="24"/>
        </w:rPr>
        <w:t xml:space="preserve"> </w:t>
      </w:r>
      <w:r w:rsidR="00274751">
        <w:rPr>
          <w:rStyle w:val="FootnoteReference"/>
          <w:rFonts w:ascii="Times New Roman" w:eastAsia="Times New Roman" w:hAnsi="Times New Roman" w:cs="Times New Roman"/>
          <w:sz w:val="24"/>
          <w:szCs w:val="24"/>
        </w:rPr>
        <w:footnoteReference w:id="3"/>
      </w:r>
      <w:r w:rsidR="00274751">
        <w:rPr>
          <w:rFonts w:ascii="Times New Roman" w:eastAsia="Times New Roman" w:hAnsi="Times New Roman" w:cs="Times New Roman"/>
          <w:sz w:val="24"/>
          <w:szCs w:val="24"/>
        </w:rPr>
        <w:t xml:space="preserve"> </w:t>
      </w:r>
      <w:r w:rsidR="005F74A6">
        <w:rPr>
          <w:rFonts w:ascii="Times New Roman" w:eastAsia="Times New Roman" w:hAnsi="Times New Roman" w:cs="Times New Roman"/>
          <w:sz w:val="24"/>
          <w:szCs w:val="24"/>
        </w:rPr>
        <w:t>in October.</w:t>
      </w:r>
      <w:r>
        <w:rPr>
          <w:rFonts w:ascii="Times New Roman" w:eastAsia="Times New Roman" w:hAnsi="Times New Roman" w:cs="Times New Roman"/>
          <w:sz w:val="24"/>
          <w:szCs w:val="24"/>
        </w:rPr>
        <w:t xml:space="preserve"> It is lunacy, from a development standpoint,  to create binding, sanctionable international legal treaties on newly emerging and incredibly dynamic areas of the technological transformation economy.</w:t>
      </w:r>
    </w:p>
    <w:p w14:paraId="723EECEA"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3BD19" w14:textId="7F098228"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The “e-commerce” proposals would decimate jobs</w:t>
      </w:r>
      <w:r w:rsidRPr="00FA23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Technologies driving the “fourth industrial revolution” intend to</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1155CC"/>
            <w:sz w:val="24"/>
            <w:szCs w:val="24"/>
            <w:u w:val="single"/>
          </w:rPr>
          <w:t>disrupt labor markets</w:t>
        </w:r>
      </w:hyperlink>
      <w:r>
        <w:rPr>
          <w:rFonts w:ascii="Times New Roman" w:eastAsia="Times New Roman" w:hAnsi="Times New Roman" w:cs="Times New Roman"/>
          <w:sz w:val="24"/>
          <w:szCs w:val="24"/>
        </w:rPr>
        <w:t xml:space="preserve">, as flexibility is key to “innovation.” </w:t>
      </w:r>
      <w:r w:rsidR="00FA23A0">
        <w:rPr>
          <w:rFonts w:ascii="Times New Roman" w:eastAsia="Times New Roman" w:hAnsi="Times New Roman" w:cs="Times New Roman"/>
          <w:sz w:val="24"/>
          <w:szCs w:val="24"/>
        </w:rPr>
        <w:t xml:space="preserve">Well-paying jobs with benefits </w:t>
      </w:r>
      <w:r w:rsidR="00D742E7">
        <w:rPr>
          <w:rFonts w:ascii="Times New Roman" w:eastAsia="Times New Roman" w:hAnsi="Times New Roman" w:cs="Times New Roman"/>
          <w:sz w:val="24"/>
          <w:szCs w:val="24"/>
        </w:rPr>
        <w:t>are being</w:t>
      </w:r>
      <w:r w:rsidR="00FA23A0">
        <w:rPr>
          <w:rFonts w:ascii="Times New Roman" w:eastAsia="Times New Roman" w:hAnsi="Times New Roman" w:cs="Times New Roman"/>
          <w:sz w:val="24"/>
          <w:szCs w:val="24"/>
        </w:rPr>
        <w:t xml:space="preserve"> replaced by casual labor lacking in social protection or stability. </w:t>
      </w:r>
      <w:r>
        <w:rPr>
          <w:rFonts w:ascii="Times New Roman" w:eastAsia="Times New Roman" w:hAnsi="Times New Roman" w:cs="Times New Roman"/>
          <w:sz w:val="24"/>
          <w:szCs w:val="24"/>
        </w:rPr>
        <w:t xml:space="preserve">Companies </w:t>
      </w:r>
      <w:r w:rsidR="00D742E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transfer</w:t>
      </w:r>
      <w:r w:rsidR="00D742E7">
        <w:rPr>
          <w:rFonts w:ascii="Times New Roman" w:eastAsia="Times New Roman" w:hAnsi="Times New Roman" w:cs="Times New Roman"/>
          <w:sz w:val="24"/>
          <w:szCs w:val="24"/>
        </w:rPr>
        <w:t>ring</w:t>
      </w:r>
      <w:r>
        <w:rPr>
          <w:rFonts w:ascii="Times New Roman" w:eastAsia="Times New Roman" w:hAnsi="Times New Roman" w:cs="Times New Roman"/>
          <w:sz w:val="24"/>
          <w:szCs w:val="24"/>
        </w:rPr>
        <w:t xml:space="preserve"> market risk onto the individual contractor or “independent worker,” who is not only paid less, but who lacks employment benefits such as sick leave, health care insurance, and retirement </w:t>
      </w:r>
      <w:r>
        <w:rPr>
          <w:rFonts w:ascii="Times New Roman" w:eastAsia="Times New Roman" w:hAnsi="Times New Roman" w:cs="Times New Roman"/>
          <w:sz w:val="24"/>
          <w:szCs w:val="24"/>
        </w:rPr>
        <w:lastRenderedPageBreak/>
        <w:t>contributions ― not to mention job stability. Often, as in the case of Uber, the company’s efforts to establish market dominance are at</w:t>
      </w:r>
      <w:hyperlink r:id="rId36">
        <w:r>
          <w:rPr>
            <w:rFonts w:ascii="Times New Roman" w:eastAsia="Times New Roman" w:hAnsi="Times New Roman" w:cs="Times New Roman"/>
            <w:sz w:val="24"/>
            <w:szCs w:val="24"/>
          </w:rPr>
          <w:t xml:space="preserve"> </w:t>
        </w:r>
      </w:hyperlink>
      <w:hyperlink r:id="rId37">
        <w:r>
          <w:rPr>
            <w:rFonts w:ascii="Times New Roman" w:eastAsia="Times New Roman" w:hAnsi="Times New Roman" w:cs="Times New Roman"/>
            <w:color w:val="1155CC"/>
            <w:sz w:val="24"/>
            <w:szCs w:val="24"/>
            <w:u w:val="single"/>
          </w:rPr>
          <w:t>direct odds</w:t>
        </w:r>
      </w:hyperlink>
      <w:r>
        <w:rPr>
          <w:rFonts w:ascii="Times New Roman" w:eastAsia="Times New Roman" w:hAnsi="Times New Roman" w:cs="Times New Roman"/>
          <w:sz w:val="24"/>
          <w:szCs w:val="24"/>
        </w:rPr>
        <w:t xml:space="preserve"> with workers’ ability to increase their pay. And </w:t>
      </w:r>
      <w:r w:rsidR="00FA23A0">
        <w:rPr>
          <w:rFonts w:ascii="Times New Roman" w:eastAsia="Times New Roman" w:hAnsi="Times New Roman" w:cs="Times New Roman"/>
          <w:sz w:val="24"/>
          <w:szCs w:val="24"/>
        </w:rPr>
        <w:t xml:space="preserve">while the danger to jobs from robots is exaggerated, </w:t>
      </w:r>
      <w:r>
        <w:rPr>
          <w:rFonts w:ascii="Times New Roman" w:eastAsia="Times New Roman" w:hAnsi="Times New Roman" w:cs="Times New Roman"/>
          <w:sz w:val="24"/>
          <w:szCs w:val="24"/>
        </w:rPr>
        <w:t>many jobs will be replaced through automation. A 2016 World Bank</w:t>
      </w:r>
      <w:hyperlink r:id="rId38">
        <w:r>
          <w:rPr>
            <w:rFonts w:ascii="Times New Roman" w:eastAsia="Times New Roman" w:hAnsi="Times New Roman" w:cs="Times New Roman"/>
            <w:sz w:val="24"/>
            <w:szCs w:val="24"/>
          </w:rPr>
          <w:t xml:space="preserve"> </w:t>
        </w:r>
      </w:hyperlink>
      <w:hyperlink r:id="rId39">
        <w:r>
          <w:rPr>
            <w:rFonts w:ascii="Times New Roman" w:eastAsia="Times New Roman" w:hAnsi="Times New Roman" w:cs="Times New Roman"/>
            <w:color w:val="1155CC"/>
            <w:sz w:val="24"/>
            <w:szCs w:val="24"/>
            <w:u w:val="single"/>
          </w:rPr>
          <w:t>Development Report</w:t>
        </w:r>
      </w:hyperlink>
      <w:r>
        <w:rPr>
          <w:rFonts w:ascii="Times New Roman" w:eastAsia="Times New Roman" w:hAnsi="Times New Roman" w:cs="Times New Roman"/>
          <w:sz w:val="24"/>
          <w:szCs w:val="24"/>
        </w:rPr>
        <w:t xml:space="preserve"> estimated that a full 47 percent of jobs in the United States are at risk of automation, 65 percent of jobs in Argentina, 77 percent of jobs in China, and a whopping 85 percent in Ethiopia. A recent</w:t>
      </w:r>
      <w:hyperlink r:id="rId40">
        <w:r>
          <w:rPr>
            <w:rFonts w:ascii="Times New Roman" w:eastAsia="Times New Roman" w:hAnsi="Times New Roman" w:cs="Times New Roman"/>
            <w:sz w:val="24"/>
            <w:szCs w:val="24"/>
          </w:rPr>
          <w:t xml:space="preserve"> </w:t>
        </w:r>
      </w:hyperlink>
      <w:hyperlink r:id="rId41">
        <w:r>
          <w:rPr>
            <w:rFonts w:ascii="Times New Roman" w:eastAsia="Times New Roman" w:hAnsi="Times New Roman" w:cs="Times New Roman"/>
            <w:color w:val="1155CC"/>
            <w:sz w:val="24"/>
            <w:szCs w:val="24"/>
            <w:u w:val="single"/>
          </w:rPr>
          <w:t xml:space="preserve">UBS </w:t>
        </w:r>
      </w:hyperlink>
      <w:hyperlink r:id="rId42" w:history="1">
        <w:r>
          <w:rPr>
            <w:rFonts w:ascii="Times New Roman" w:eastAsia="Times New Roman" w:hAnsi="Times New Roman" w:cs="Times New Roman"/>
            <w:color w:val="1155CC"/>
            <w:sz w:val="24"/>
            <w:szCs w:val="24"/>
            <w:u w:val="single"/>
          </w:rPr>
          <w:t xml:space="preserve">Group </w:t>
        </w:r>
      </w:hyperlink>
      <w:hyperlink r:id="rId43">
        <w:r>
          <w:rPr>
            <w:rFonts w:ascii="Times New Roman" w:eastAsia="Times New Roman" w:hAnsi="Times New Roman" w:cs="Times New Roman"/>
            <w:color w:val="1155CC"/>
            <w:sz w:val="24"/>
            <w:szCs w:val="24"/>
            <w:u w:val="single"/>
          </w:rPr>
          <w:t>report</w:t>
        </w:r>
      </w:hyperlink>
      <w:r>
        <w:rPr>
          <w:rFonts w:ascii="Times New Roman" w:eastAsia="Times New Roman" w:hAnsi="Times New Roman" w:cs="Times New Roman"/>
          <w:sz w:val="24"/>
          <w:szCs w:val="24"/>
        </w:rPr>
        <w:t xml:space="preserve"> noted that developing countries “will face the threat of the Fourth Industrial Revolution compromising low-skilled jobs via extreme automation, but may not have the technological ability to enjoy the relative gains that could be re-distributed via extreme connectivity.” </w:t>
      </w:r>
      <w:r w:rsidR="00D742E7">
        <w:rPr>
          <w:rFonts w:ascii="Times New Roman" w:eastAsia="Times New Roman" w:hAnsi="Times New Roman" w:cs="Times New Roman"/>
          <w:sz w:val="24"/>
          <w:szCs w:val="24"/>
        </w:rPr>
        <w:t xml:space="preserve">The e-commerce proposals don’t create this change, but would accelerate its pace and make it more difficult for governments to mitigate the negative impacts. </w:t>
      </w:r>
      <w:r>
        <w:rPr>
          <w:rFonts w:ascii="Times New Roman" w:eastAsia="Times New Roman" w:hAnsi="Times New Roman" w:cs="Times New Roman"/>
          <w:sz w:val="24"/>
          <w:szCs w:val="24"/>
        </w:rPr>
        <w:t xml:space="preserve">Rather than consolidating market access rights for TNCs to </w:t>
      </w:r>
      <w:r w:rsidR="00DD3D1E">
        <w:rPr>
          <w:rFonts w:ascii="Times New Roman" w:eastAsia="Times New Roman" w:hAnsi="Times New Roman" w:cs="Times New Roman"/>
          <w:sz w:val="24"/>
          <w:szCs w:val="24"/>
        </w:rPr>
        <w:t>intensify</w:t>
      </w:r>
      <w:r>
        <w:rPr>
          <w:rFonts w:ascii="Times New Roman" w:eastAsia="Times New Roman" w:hAnsi="Times New Roman" w:cs="Times New Roman"/>
          <w:sz w:val="24"/>
          <w:szCs w:val="24"/>
        </w:rPr>
        <w:t xml:space="preserve"> this disruption, as the e-commerce proposals would</w:t>
      </w:r>
      <w:r w:rsidR="00034B2C">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 xml:space="preserve">countries </w:t>
      </w:r>
      <w:r w:rsidR="00D742E7">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able to utilize a range of policy tools to promote good jobs, social protections, and ― particularly in developing countries ― the structural transformation of their economies.</w:t>
      </w:r>
    </w:p>
    <w:p w14:paraId="574A5E18"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089BDA" w14:textId="49A7EA90"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The e-commerce proposals would exacerbate inequality between countries</w:t>
      </w:r>
      <w:r>
        <w:rPr>
          <w:rFonts w:ascii="Times New Roman" w:eastAsia="Times New Roman" w:hAnsi="Times New Roman" w:cs="Times New Roman"/>
          <w:sz w:val="24"/>
          <w:szCs w:val="24"/>
        </w:rPr>
        <w:t>. In Sub-Saharan Africa,</w:t>
      </w:r>
      <w:hyperlink r:id="rId44">
        <w:r>
          <w:rPr>
            <w:rFonts w:ascii="Times New Roman" w:eastAsia="Times New Roman" w:hAnsi="Times New Roman" w:cs="Times New Roman"/>
            <w:sz w:val="24"/>
            <w:szCs w:val="24"/>
          </w:rPr>
          <w:t xml:space="preserve"> </w:t>
        </w:r>
      </w:hyperlink>
      <w:hyperlink r:id="rId45">
        <w:r>
          <w:rPr>
            <w:rFonts w:ascii="Times New Roman" w:eastAsia="Times New Roman" w:hAnsi="Times New Roman" w:cs="Times New Roman"/>
            <w:color w:val="1155CC"/>
            <w:sz w:val="24"/>
            <w:szCs w:val="24"/>
            <w:u w:val="single"/>
          </w:rPr>
          <w:t>62.5 percent</w:t>
        </w:r>
      </w:hyperlink>
      <w:r>
        <w:rPr>
          <w:rFonts w:ascii="Times New Roman" w:eastAsia="Times New Roman" w:hAnsi="Times New Roman" w:cs="Times New Roman"/>
          <w:sz w:val="24"/>
          <w:szCs w:val="24"/>
        </w:rPr>
        <w:t xml:space="preserve"> </w:t>
      </w:r>
      <w:hyperlink r:id="rId46" w:history="1">
        <w:r w:rsidRPr="00FA23A0">
          <w:rPr>
            <w:rFonts w:ascii="Times New Roman" w:eastAsia="Times New Roman" w:hAnsi="Times New Roman" w:cs="Times New Roman"/>
            <w:sz w:val="24"/>
            <w:szCs w:val="24"/>
          </w:rPr>
          <w:t>o</w:t>
        </w:r>
      </w:hyperlink>
      <w:r>
        <w:rPr>
          <w:rFonts w:ascii="Times New Roman" w:eastAsia="Times New Roman" w:hAnsi="Times New Roman" w:cs="Times New Roman"/>
          <w:sz w:val="24"/>
          <w:szCs w:val="24"/>
        </w:rPr>
        <w:t>f</w:t>
      </w:r>
      <w:hyperlink r:id="rId47" w:history="1">
        <w:r w:rsidRPr="00FA23A0">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t</w:t>
      </w:r>
      <w:hyperlink r:id="rId48" w:history="1">
        <w:r w:rsidRPr="00FA23A0">
          <w:rPr>
            <w:rFonts w:ascii="Times New Roman" w:eastAsia="Times New Roman" w:hAnsi="Times New Roman" w:cs="Times New Roman"/>
            <w:sz w:val="24"/>
            <w:szCs w:val="24"/>
          </w:rPr>
          <w:t>h</w:t>
        </w:r>
      </w:hyperlink>
      <w:r>
        <w:rPr>
          <w:rFonts w:ascii="Times New Roman" w:eastAsia="Times New Roman" w:hAnsi="Times New Roman" w:cs="Times New Roman"/>
          <w:sz w:val="24"/>
          <w:szCs w:val="24"/>
        </w:rPr>
        <w:t>e</w:t>
      </w:r>
      <w:hyperlink r:id="rId49" w:history="1">
        <w:r w:rsidRPr="00FA23A0">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p</w:t>
      </w:r>
      <w:hyperlink r:id="rId50" w:history="1">
        <w:r w:rsidRPr="00FA23A0">
          <w:rPr>
            <w:rFonts w:ascii="Times New Roman" w:eastAsia="Times New Roman" w:hAnsi="Times New Roman" w:cs="Times New Roman"/>
            <w:sz w:val="24"/>
            <w:szCs w:val="24"/>
          </w:rPr>
          <w:t>o</w:t>
        </w:r>
      </w:hyperlink>
      <w:r>
        <w:rPr>
          <w:rFonts w:ascii="Times New Roman" w:eastAsia="Times New Roman" w:hAnsi="Times New Roman" w:cs="Times New Roman"/>
          <w:sz w:val="24"/>
          <w:szCs w:val="24"/>
        </w:rPr>
        <w:t>p</w:t>
      </w:r>
      <w:hyperlink r:id="rId51" w:history="1">
        <w:r w:rsidRPr="00FA23A0">
          <w:rPr>
            <w:rFonts w:ascii="Times New Roman" w:eastAsia="Times New Roman" w:hAnsi="Times New Roman" w:cs="Times New Roman"/>
            <w:sz w:val="24"/>
            <w:szCs w:val="24"/>
          </w:rPr>
          <w:t>u</w:t>
        </w:r>
      </w:hyperlink>
      <w:r>
        <w:rPr>
          <w:rFonts w:ascii="Times New Roman" w:eastAsia="Times New Roman" w:hAnsi="Times New Roman" w:cs="Times New Roman"/>
          <w:sz w:val="24"/>
          <w:szCs w:val="24"/>
        </w:rPr>
        <w:t>l</w:t>
      </w:r>
      <w:hyperlink r:id="rId52" w:history="1">
        <w:r w:rsidRPr="00FA23A0">
          <w:rPr>
            <w:rFonts w:ascii="Times New Roman" w:eastAsia="Times New Roman" w:hAnsi="Times New Roman" w:cs="Times New Roman"/>
            <w:sz w:val="24"/>
            <w:szCs w:val="24"/>
          </w:rPr>
          <w:t>a</w:t>
        </w:r>
      </w:hyperlink>
      <w:r>
        <w:rPr>
          <w:rFonts w:ascii="Times New Roman" w:eastAsia="Times New Roman" w:hAnsi="Times New Roman" w:cs="Times New Roman"/>
          <w:sz w:val="24"/>
          <w:szCs w:val="24"/>
        </w:rPr>
        <w:t>t</w:t>
      </w:r>
      <w:hyperlink r:id="rId53" w:history="1">
        <w:r w:rsidRPr="00FA23A0">
          <w:rPr>
            <w:rFonts w:ascii="Times New Roman" w:eastAsia="Times New Roman" w:hAnsi="Times New Roman" w:cs="Times New Roman"/>
            <w:sz w:val="24"/>
            <w:szCs w:val="24"/>
          </w:rPr>
          <w:t>i</w:t>
        </w:r>
      </w:hyperlink>
      <w:r>
        <w:rPr>
          <w:rFonts w:ascii="Times New Roman" w:eastAsia="Times New Roman" w:hAnsi="Times New Roman" w:cs="Times New Roman"/>
          <w:sz w:val="24"/>
          <w:szCs w:val="24"/>
        </w:rPr>
        <w:t>o</w:t>
      </w:r>
      <w:hyperlink r:id="rId54" w:history="1">
        <w:r w:rsidRPr="00FA23A0">
          <w:rPr>
            <w:rFonts w:ascii="Times New Roman" w:eastAsia="Times New Roman" w:hAnsi="Times New Roman" w:cs="Times New Roman"/>
            <w:sz w:val="24"/>
            <w:szCs w:val="24"/>
          </w:rPr>
          <w:t>n</w:t>
        </w:r>
      </w:hyperlink>
      <w:r>
        <w:rPr>
          <w:rFonts w:ascii="Times New Roman" w:eastAsia="Times New Roman" w:hAnsi="Times New Roman" w:cs="Times New Roman"/>
          <w:sz w:val="24"/>
          <w:szCs w:val="24"/>
        </w:rPr>
        <w:t xml:space="preserve"> lacks access to electricity;</w:t>
      </w:r>
      <w:hyperlink r:id="rId55">
        <w:r>
          <w:rPr>
            <w:rFonts w:ascii="Times New Roman" w:eastAsia="Times New Roman" w:hAnsi="Times New Roman" w:cs="Times New Roman"/>
            <w:sz w:val="24"/>
            <w:szCs w:val="24"/>
          </w:rPr>
          <w:t xml:space="preserve"> </w:t>
        </w:r>
      </w:hyperlink>
      <w:hyperlink r:id="rId56">
        <w:r>
          <w:rPr>
            <w:rFonts w:ascii="Times New Roman" w:eastAsia="Times New Roman" w:hAnsi="Times New Roman" w:cs="Times New Roman"/>
            <w:color w:val="1155CC"/>
            <w:sz w:val="24"/>
            <w:szCs w:val="24"/>
            <w:u w:val="single"/>
          </w:rPr>
          <w:t>87 percent</w:t>
        </w:r>
      </w:hyperlink>
      <w:r>
        <w:rPr>
          <w:rFonts w:ascii="Times New Roman" w:eastAsia="Times New Roman" w:hAnsi="Times New Roman" w:cs="Times New Roman"/>
          <w:sz w:val="24"/>
          <w:szCs w:val="24"/>
        </w:rPr>
        <w:t xml:space="preserve"> lacks access to the Internet; and the majority do not have postal delivery to their home address. Poor countries have been clear that their concerns include increased access to energy, Internet, and other information and communi</w:t>
      </w:r>
      <w:r w:rsidR="00FA23A0">
        <w:rPr>
          <w:rFonts w:ascii="Times New Roman" w:eastAsia="Times New Roman" w:hAnsi="Times New Roman" w:cs="Times New Roman"/>
          <w:sz w:val="24"/>
          <w:szCs w:val="24"/>
        </w:rPr>
        <w:t>cation technologies (ICT) to close</w:t>
      </w:r>
      <w:r>
        <w:rPr>
          <w:rFonts w:ascii="Times New Roman" w:eastAsia="Times New Roman" w:hAnsi="Times New Roman" w:cs="Times New Roman"/>
          <w:sz w:val="24"/>
          <w:szCs w:val="24"/>
        </w:rPr>
        <w:t xml:space="preserve"> the digital divide; increased infrastructure for logistics, including transportation and postal systems; legal and regulatory frameworks; access to finance; and capacity building in technologies to help them prepare to benefit from e-commerce. But these issues are generally not reflected in the proposals of developed countries, put forward by the largest e-commerce TNCs. Developing countries’ proposals, meanwhile, often result in nonbinding promises of future aid that i</w:t>
      </w:r>
      <w:r w:rsidR="00274751">
        <w:rPr>
          <w:rFonts w:ascii="Times New Roman" w:eastAsia="Times New Roman" w:hAnsi="Times New Roman" w:cs="Times New Roman"/>
          <w:sz w:val="24"/>
          <w:szCs w:val="24"/>
        </w:rPr>
        <w:t>s rarely delivered.</w:t>
      </w:r>
      <w:r w:rsidR="00274751">
        <w:rPr>
          <w:rStyle w:val="FootnoteReference"/>
          <w:rFonts w:ascii="Times New Roman" w:eastAsia="Times New Roman" w:hAnsi="Times New Roman" w:cs="Times New Roman"/>
          <w:sz w:val="24"/>
          <w:szCs w:val="24"/>
        </w:rPr>
        <w:footnoteReference w:id="4"/>
      </w:r>
      <w:r w:rsidR="0027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fact that China is a major e-commerce player, via </w:t>
      </w:r>
      <w:r w:rsidR="00D742E7">
        <w:rPr>
          <w:rFonts w:ascii="Times New Roman" w:eastAsia="Times New Roman" w:hAnsi="Times New Roman" w:cs="Times New Roman"/>
          <w:sz w:val="24"/>
          <w:szCs w:val="24"/>
        </w:rPr>
        <w:t>AliB</w:t>
      </w:r>
      <w:r>
        <w:rPr>
          <w:rFonts w:ascii="Times New Roman" w:eastAsia="Times New Roman" w:hAnsi="Times New Roman" w:cs="Times New Roman"/>
          <w:sz w:val="24"/>
          <w:szCs w:val="24"/>
        </w:rPr>
        <w:t xml:space="preserve">aba, does little to mitigate the structural inequalities that would be entrenched between developed and developing countries. The e-commerce proposals would extend vast protectionism favoring companies based in developed countries, in the form of patents and copyrights for technologies and content, resulting in increased revenues transferred from the </w:t>
      </w:r>
      <w:r w:rsidR="00FA23A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lobal South to corporations in the </w:t>
      </w:r>
      <w:r w:rsidR="00FA23A0">
        <w:rPr>
          <w:rFonts w:ascii="Times New Roman" w:eastAsia="Times New Roman" w:hAnsi="Times New Roman" w:cs="Times New Roman"/>
          <w:sz w:val="24"/>
          <w:szCs w:val="24"/>
        </w:rPr>
        <w:t>g</w:t>
      </w:r>
      <w:r>
        <w:rPr>
          <w:rFonts w:ascii="Times New Roman" w:eastAsia="Times New Roman" w:hAnsi="Times New Roman" w:cs="Times New Roman"/>
          <w:sz w:val="24"/>
          <w:szCs w:val="24"/>
        </w:rPr>
        <w:t>lobal North.</w:t>
      </w:r>
    </w:p>
    <w:p w14:paraId="744FF1EE" w14:textId="45079E2F"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E-commerce proposals in the WTO could make us less safe</w:t>
      </w:r>
      <w:r>
        <w:rPr>
          <w:rFonts w:ascii="Times New Roman" w:eastAsia="Times New Roman" w:hAnsi="Times New Roman" w:cs="Times New Roman"/>
          <w:sz w:val="24"/>
          <w:szCs w:val="24"/>
        </w:rPr>
        <w:t xml:space="preserve">. The EU’s proposal on e-commerce at the WTO includes a ban on access to, or mandatory disclosure of, source code, for all WTO members. Governments, including the United States’, often require source code to be published or disclosed so that vulnerability to hacking can be checked. This will become increasingly important as some estimates project that 50 billion devices will be connected to the Internet by 2020, including such “Internet of things” household devices as refrigerators and smart TVs (which were among the hundreds of thousands of devices utilized in massive hacks in 2014, and again in 2016). Hackability of medical devices, such as pacemakers, and of the electronic systems in cars, could pose serious health and safety risks. According to the US Department of Defense, which has preferred open source software (OSS) since 2002: </w:t>
      </w:r>
    </w:p>
    <w:p w14:paraId="3A011B57" w14:textId="5768EBCA" w:rsidR="00B916CF" w:rsidRDefault="00B047BA" w:rsidP="004D35F3">
      <w:pPr>
        <w:pStyle w:val="Normal1"/>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making source code available to the public significantly aids defenders and not just attackers. Continuous and broad peer-review, enabled by publicly available source code, improves software reliability and security through the identification and elimination of defects that might otherwise go unrecognized .… Conversely, when source code is hidden from the public, attackers can attack the software anyway.</w:t>
      </w:r>
      <w:r w:rsidR="00274751">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
    <w:p w14:paraId="5782B763" w14:textId="77777777"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houses become “smart homes” and cities become “smart cities,” the risk of secret, proprietary software becoming hacked puts us all at risk.</w:t>
      </w:r>
    </w:p>
    <w:p w14:paraId="4CC2488D" w14:textId="427F7389"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E-commerce proposals would promote greater inequality by reducing real competition and promoting monopolistic and oligopolistic behavior</w:t>
      </w:r>
      <w:r>
        <w:rPr>
          <w:rFonts w:ascii="Times New Roman" w:eastAsia="Times New Roman" w:hAnsi="Times New Roman" w:cs="Times New Roman"/>
          <w:sz w:val="24"/>
          <w:szCs w:val="24"/>
        </w:rPr>
        <w:t xml:space="preserve">. “Is it Time to Break Up Google?” Jonathan Taplin wondered in </w:t>
      </w:r>
      <w:r w:rsidRPr="00096C93">
        <w:rPr>
          <w:rFonts w:ascii="Times New Roman" w:eastAsia="Times New Roman" w:hAnsi="Times New Roman" w:cs="Times New Roman"/>
          <w:sz w:val="24"/>
          <w:szCs w:val="24"/>
        </w:rPr>
        <w:t>The New York Times</w:t>
      </w:r>
      <w:r>
        <w:rPr>
          <w:rFonts w:ascii="Times New Roman" w:eastAsia="Times New Roman" w:hAnsi="Times New Roman" w:cs="Times New Roman"/>
          <w:sz w:val="24"/>
          <w:szCs w:val="24"/>
        </w:rPr>
        <w:t xml:space="preserve"> recently: </w:t>
      </w:r>
    </w:p>
    <w:p w14:paraId="54661F2A" w14:textId="4E639B5A" w:rsidR="00B916CF" w:rsidRDefault="00B047BA" w:rsidP="004D35F3">
      <w:pPr>
        <w:pStyle w:val="Normal1"/>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Google has an 88 percent market share in search advertising, Facebook (and its subsidiaries Instagram, WhatsApp and Messenger) owns 77 percent of mobile social traffic and Amazon has a 74 percent share in the e-book market. In classic economic terms, all three are monopolies.</w:t>
      </w:r>
      <w:r w:rsidR="00274751">
        <w:rPr>
          <w:rStyle w:val="FootnoteReference"/>
          <w:rFonts w:ascii="Times New Roman" w:eastAsia="Times New Roman" w:hAnsi="Times New Roman" w:cs="Times New Roman"/>
          <w:sz w:val="24"/>
          <w:szCs w:val="24"/>
        </w:rPr>
        <w:footnoteReference w:id="6"/>
      </w:r>
    </w:p>
    <w:p w14:paraId="6CC67535" w14:textId="6C1A504C" w:rsidR="00B916CF" w:rsidRDefault="00B047BA" w:rsidP="004D35F3">
      <w:pPr>
        <w:pStyle w:val="Normal1"/>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control of information, media, and retail sales by these three firms is reaping unintended consequences for democracy, innovation, and the public interest. These TNCs are able to invest in new markets and operate at a loss for years in order to establish market dominance, as Uber</w:t>
      </w:r>
      <w:r w:rsidR="00274751">
        <w:rPr>
          <w:rStyle w:val="FootnoteReference"/>
          <w:rFonts w:ascii="Times New Roman" w:eastAsia="Times New Roman" w:hAnsi="Times New Roman" w:cs="Times New Roman"/>
          <w:sz w:val="24"/>
          <w:szCs w:val="24"/>
        </w:rPr>
        <w:footnoteReference w:id="7"/>
      </w:r>
      <w:r w:rsidR="0027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Amazon</w:t>
      </w:r>
      <w:r w:rsidR="00274751">
        <w:rPr>
          <w:rStyle w:val="FootnoteReference"/>
          <w:rFonts w:ascii="Times New Roman" w:eastAsia="Times New Roman" w:hAnsi="Times New Roman" w:cs="Times New Roman"/>
          <w:sz w:val="24"/>
          <w:szCs w:val="24"/>
        </w:rPr>
        <w:footnoteReference w:id="8"/>
      </w:r>
      <w:r w:rsidR="00092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doing in</w:t>
      </w:r>
      <w:hyperlink r:id="rId57">
        <w:r>
          <w:rPr>
            <w:rFonts w:ascii="Times New Roman" w:eastAsia="Times New Roman" w:hAnsi="Times New Roman" w:cs="Times New Roman"/>
            <w:sz w:val="24"/>
            <w:szCs w:val="24"/>
          </w:rPr>
          <w:t xml:space="preserve"> </w:t>
        </w:r>
      </w:hyperlink>
      <w:hyperlink r:id="rId58">
        <w:r>
          <w:rPr>
            <w:rFonts w:ascii="Times New Roman" w:eastAsia="Times New Roman" w:hAnsi="Times New Roman" w:cs="Times New Roman"/>
            <w:color w:val="1155CC"/>
            <w:sz w:val="24"/>
            <w:szCs w:val="24"/>
            <w:u w:val="single"/>
          </w:rPr>
          <w:t>India</w:t>
        </w:r>
      </w:hyperlink>
      <w:r>
        <w:rPr>
          <w:rFonts w:ascii="Times New Roman" w:eastAsia="Times New Roman" w:hAnsi="Times New Roman" w:cs="Times New Roman"/>
          <w:sz w:val="24"/>
          <w:szCs w:val="24"/>
        </w:rPr>
        <w:t xml:space="preserve"> and many of the hundreds of markets in which they operate. </w:t>
      </w:r>
      <w:r w:rsidR="00DA514B">
        <w:rPr>
          <w:rFonts w:ascii="Times New Roman" w:eastAsia="Times New Roman" w:hAnsi="Times New Roman" w:cs="Times New Roman"/>
          <w:sz w:val="24"/>
          <w:szCs w:val="24"/>
        </w:rPr>
        <w:t>President Trump’s new pick for antitrust</w:t>
      </w:r>
      <w:r>
        <w:rPr>
          <w:rFonts w:ascii="Times New Roman" w:eastAsia="Times New Roman" w:hAnsi="Times New Roman" w:cs="Times New Roman"/>
          <w:sz w:val="24"/>
          <w:szCs w:val="24"/>
        </w:rPr>
        <w:t xml:space="preserve"> czar</w:t>
      </w:r>
      <w:r w:rsidR="00DA514B">
        <w:rPr>
          <w:rFonts w:ascii="Times New Roman" w:eastAsia="Times New Roman" w:hAnsi="Times New Roman" w:cs="Times New Roman"/>
          <w:sz w:val="24"/>
          <w:szCs w:val="24"/>
        </w:rPr>
        <w:t xml:space="preserve">, </w:t>
      </w:r>
      <w:r w:rsidR="00DA514B" w:rsidRPr="00DA514B">
        <w:rPr>
          <w:rFonts w:ascii="Times New Roman" w:eastAsia="Times New Roman" w:hAnsi="Times New Roman" w:cs="Times New Roman"/>
          <w:sz w:val="24"/>
          <w:szCs w:val="24"/>
        </w:rPr>
        <w:t>Makan Delrahim</w:t>
      </w:r>
      <w:r w:rsidR="00DA51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extremely weak on antimonopoly regulation. Without strong anticompetitive legislation, companies are consolidating further across sectors through acquisition </w:t>
      </w:r>
      <w:r>
        <w:rPr>
          <w:rFonts w:ascii="Calibri" w:eastAsia="Calibri" w:hAnsi="Calibri" w:cs="Calibri"/>
        </w:rPr>
        <w:t>—</w:t>
      </w:r>
      <w:r>
        <w:rPr>
          <w:rFonts w:ascii="Times New Roman" w:eastAsia="Times New Roman" w:hAnsi="Times New Roman" w:cs="Times New Roman"/>
          <w:sz w:val="24"/>
          <w:szCs w:val="24"/>
        </w:rPr>
        <w:t xml:space="preserve"> “Google buying AdMob and DoubleClick, Facebook buying Instagram and WhatsApp, Amazon buying, to name just a few, Audible, Twitch, Zappos and Alexa,” notes Taplin. In addition, if a country is concerned about anticompetitive behavior, its courts will often require that source code be disclosed. But there is no exception in the EU’s e-commerce proposal for cases in which courts require that source code be revealed. Proposals also call for dominant players to be able to expand their ability to influence regulation of their operations under the guise of “transparency for stakeholders.” How can SMEs hope to get established in a field where governments are restricted from enforcing anticompetitive behavior, and entrenched players are given a leg up in making the rules?</w:t>
      </w:r>
    </w:p>
    <w:p w14:paraId="148B6220" w14:textId="77777777" w:rsidR="00B916CF" w:rsidRDefault="00B916CF" w:rsidP="004D35F3">
      <w:pPr>
        <w:pStyle w:val="Normal1"/>
        <w:spacing w:line="240" w:lineRule="auto"/>
        <w:rPr>
          <w:rFonts w:ascii="Times New Roman" w:eastAsia="Times New Roman" w:hAnsi="Times New Roman" w:cs="Times New Roman"/>
          <w:b/>
          <w:sz w:val="24"/>
          <w:szCs w:val="24"/>
        </w:rPr>
      </w:pPr>
    </w:p>
    <w:p w14:paraId="42402072" w14:textId="2414F4DB"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E-commerce proposals threaten countries’ futures by mandating the free transfer of their most precious natural resource: data</w:t>
      </w:r>
      <w:r>
        <w:rPr>
          <w:rFonts w:ascii="Times New Roman" w:eastAsia="Times New Roman" w:hAnsi="Times New Roman" w:cs="Times New Roman"/>
          <w:sz w:val="24"/>
          <w:szCs w:val="24"/>
        </w:rPr>
        <w:t xml:space="preserve">. Uber’s most valuable asset is not cars or drivers, but its data on how people move around. Once a company dominates a field and is able to process raw data into intelligence, it can maintain its dominance to the exclusion of competitors, as </w:t>
      </w:r>
      <w:r w:rsidRPr="0009214C">
        <w:rPr>
          <w:rFonts w:ascii="Times New Roman" w:eastAsia="Times New Roman" w:hAnsi="Times New Roman" w:cs="Times New Roman"/>
          <w:sz w:val="24"/>
          <w:szCs w:val="24"/>
        </w:rPr>
        <w:t>The Economist</w:t>
      </w:r>
      <w:r>
        <w:rPr>
          <w:rFonts w:ascii="Times New Roman" w:eastAsia="Times New Roman" w:hAnsi="Times New Roman" w:cs="Times New Roman"/>
          <w:sz w:val="24"/>
          <w:szCs w:val="24"/>
        </w:rPr>
        <w:t xml:space="preserve"> argued in a recent article, “The world’s most valuable resource is no longer oil, but data.”</w:t>
      </w:r>
      <w:r w:rsidR="00E13685">
        <w:rPr>
          <w:rStyle w:val="FootnoteReference"/>
          <w:rFonts w:ascii="Times New Roman" w:eastAsia="Times New Roman" w:hAnsi="Times New Roman" w:cs="Times New Roman"/>
          <w:sz w:val="24"/>
          <w:szCs w:val="24"/>
        </w:rPr>
        <w:footnoteReference w:id="9"/>
      </w:r>
      <w:r w:rsidR="00E13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“Free” services like Google or Amazon cloud services are able to access more data than we can imagine, and can transform it into intelligence that can be sold or rented to other companies for more profit. Yet nearly all e-commerce proposals include a mandate to promote cross-border data transfers </w:t>
      </w:r>
      <w:r>
        <w:rPr>
          <w:rFonts w:ascii="Calibri" w:eastAsia="Calibri" w:hAnsi="Calibri" w:cs="Calibri"/>
        </w:rPr>
        <w:t>—</w:t>
      </w:r>
      <w:r>
        <w:rPr>
          <w:rFonts w:ascii="Times New Roman" w:eastAsia="Times New Roman" w:hAnsi="Times New Roman" w:cs="Times New Roman"/>
          <w:sz w:val="24"/>
          <w:szCs w:val="24"/>
        </w:rPr>
        <w:t xml:space="preserve"> which they cunningly refer to as the “free flow of data” </w:t>
      </w:r>
      <w:r>
        <w:rPr>
          <w:rFonts w:ascii="Calibri" w:eastAsia="Calibri" w:hAnsi="Calibri" w:cs="Calibri"/>
        </w:rPr>
        <w:t>—</w:t>
      </w:r>
      <w:r>
        <w:rPr>
          <w:rFonts w:ascii="Times New Roman" w:eastAsia="Times New Roman" w:hAnsi="Times New Roman" w:cs="Times New Roman"/>
          <w:sz w:val="24"/>
          <w:szCs w:val="24"/>
        </w:rPr>
        <w:t xml:space="preserve"> by banning restrictions on data localization (such as the US military uses, which insists that its data be maintained on US servers) and other rules. Why should developing countries give away this valuable resource for free? A digital industrialization strategy would include creating domestic or regional data centers, as countries from China to Sweden have created, and which then can become important hubs for jump-starting software industries, gaming industries, Internet-related industries, and other data-based industries. As Parminder Jeet Singh has argued: </w:t>
      </w:r>
    </w:p>
    <w:p w14:paraId="31297F72" w14:textId="77777777" w:rsidR="00B916CF" w:rsidRDefault="00B916CF" w:rsidP="004D35F3">
      <w:pPr>
        <w:pStyle w:val="Normal1"/>
        <w:spacing w:line="240" w:lineRule="auto"/>
        <w:rPr>
          <w:rFonts w:ascii="Times New Roman" w:eastAsia="Times New Roman" w:hAnsi="Times New Roman" w:cs="Times New Roman"/>
          <w:sz w:val="24"/>
          <w:szCs w:val="24"/>
        </w:rPr>
      </w:pPr>
    </w:p>
    <w:p w14:paraId="200AFD93" w14:textId="431ABF09" w:rsidR="00B916CF" w:rsidRDefault="00B047BA" w:rsidP="004D35F3">
      <w:pPr>
        <w:pStyle w:val="Normal1"/>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Going by current trends, the level of structural dependency of developing countries in the digital society context is evidently going to be higher than ever. The phenomenon has also been called digital colonisation….Global flows and trade of these vital resources should be on fair terms, ensuring national economic benefits as well as social and cultural protections .… Meanwhile, we must make it clear that we are not advocating digital de­globalisation. What is sought is simply a fair place for developing countries, and for public interest, in the emerging global digital order.</w:t>
      </w:r>
      <w:r w:rsidR="00E13685">
        <w:rPr>
          <w:rStyle w:val="FootnoteReference"/>
          <w:rFonts w:ascii="Times New Roman" w:eastAsia="Times New Roman" w:hAnsi="Times New Roman" w:cs="Times New Roman"/>
          <w:sz w:val="24"/>
          <w:szCs w:val="24"/>
        </w:rPr>
        <w:footnoteReference w:id="10"/>
      </w:r>
    </w:p>
    <w:p w14:paraId="60AEBCFA"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94B516" w14:textId="1311D956"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 E-commerce proposals are a threat to our personal privacy and data protection</w:t>
      </w:r>
      <w:r>
        <w:rPr>
          <w:rFonts w:ascii="Times New Roman" w:eastAsia="Times New Roman" w:hAnsi="Times New Roman" w:cs="Times New Roman"/>
          <w:sz w:val="24"/>
          <w:szCs w:val="24"/>
        </w:rPr>
        <w:t xml:space="preserve">. It is not only developing countries that should be concerned about cross-border data flows, aka “free flow of information.” We have witnessed an explosion of lawsuits by consumers discovering that their data from product or service use </w:t>
      </w:r>
      <w:r>
        <w:rPr>
          <w:rFonts w:ascii="Calibri" w:eastAsia="Calibri" w:hAnsi="Calibri" w:cs="Calibri"/>
        </w:rPr>
        <w:t>—</w:t>
      </w:r>
      <w:r>
        <w:rPr>
          <w:rFonts w:ascii="Times New Roman" w:eastAsia="Times New Roman" w:hAnsi="Times New Roman" w:cs="Times New Roman"/>
          <w:sz w:val="24"/>
          <w:szCs w:val="24"/>
        </w:rPr>
        <w:t xml:space="preserve"> from</w:t>
      </w:r>
      <w:hyperlink r:id="rId59">
        <w:r>
          <w:rPr>
            <w:rFonts w:ascii="Times New Roman" w:eastAsia="Times New Roman" w:hAnsi="Times New Roman" w:cs="Times New Roman"/>
            <w:sz w:val="24"/>
            <w:szCs w:val="24"/>
          </w:rPr>
          <w:t xml:space="preserve"> </w:t>
        </w:r>
      </w:hyperlink>
      <w:hyperlink r:id="rId60">
        <w:r>
          <w:rPr>
            <w:rFonts w:ascii="Times New Roman" w:eastAsia="Times New Roman" w:hAnsi="Times New Roman" w:cs="Times New Roman"/>
            <w:color w:val="1155CC"/>
            <w:sz w:val="24"/>
            <w:szCs w:val="24"/>
            <w:u w:val="single"/>
          </w:rPr>
          <w:t>Bose headphones</w:t>
        </w:r>
      </w:hyperlink>
      <w:r>
        <w:rPr>
          <w:rFonts w:ascii="Times New Roman" w:eastAsia="Times New Roman" w:hAnsi="Times New Roman" w:cs="Times New Roman"/>
          <w:sz w:val="24"/>
          <w:szCs w:val="24"/>
        </w:rPr>
        <w:t xml:space="preserve"> to</w:t>
      </w:r>
      <w:hyperlink r:id="rId61">
        <w:r>
          <w:rPr>
            <w:rFonts w:ascii="Times New Roman" w:eastAsia="Times New Roman" w:hAnsi="Times New Roman" w:cs="Times New Roman"/>
            <w:sz w:val="24"/>
            <w:szCs w:val="24"/>
          </w:rPr>
          <w:t xml:space="preserve"> </w:t>
        </w:r>
      </w:hyperlink>
      <w:hyperlink r:id="rId62">
        <w:r>
          <w:rPr>
            <w:rFonts w:ascii="Times New Roman" w:eastAsia="Times New Roman" w:hAnsi="Times New Roman" w:cs="Times New Roman"/>
            <w:color w:val="1155CC"/>
            <w:sz w:val="24"/>
            <w:szCs w:val="24"/>
            <w:u w:val="single"/>
          </w:rPr>
          <w:t>email management</w:t>
        </w:r>
      </w:hyperlink>
      <w:r>
        <w:rPr>
          <w:rFonts w:ascii="Times New Roman" w:eastAsia="Times New Roman" w:hAnsi="Times New Roman" w:cs="Times New Roman"/>
          <w:sz w:val="24"/>
          <w:szCs w:val="24"/>
        </w:rPr>
        <w:t xml:space="preserve"> to</w:t>
      </w:r>
      <w:hyperlink r:id="rId63">
        <w:r>
          <w:rPr>
            <w:rFonts w:ascii="Times New Roman" w:eastAsia="Times New Roman" w:hAnsi="Times New Roman" w:cs="Times New Roman"/>
            <w:sz w:val="24"/>
            <w:szCs w:val="24"/>
          </w:rPr>
          <w:t xml:space="preserve"> </w:t>
        </w:r>
      </w:hyperlink>
      <w:hyperlink r:id="rId64">
        <w:r>
          <w:rPr>
            <w:rFonts w:ascii="Times New Roman" w:eastAsia="Times New Roman" w:hAnsi="Times New Roman" w:cs="Times New Roman"/>
            <w:color w:val="1155CC"/>
            <w:sz w:val="24"/>
            <w:szCs w:val="24"/>
            <w:u w:val="single"/>
          </w:rPr>
          <w:t>sex toys</w:t>
        </w:r>
      </w:hyperlink>
      <w:r>
        <w:rPr>
          <w:rFonts w:ascii="Times New Roman" w:eastAsia="Times New Roman" w:hAnsi="Times New Roman" w:cs="Times New Roman"/>
          <w:sz w:val="24"/>
          <w:szCs w:val="24"/>
        </w:rPr>
        <w:t xml:space="preserve"> </w:t>
      </w:r>
      <w:r>
        <w:rPr>
          <w:rFonts w:ascii="Calibri" w:eastAsia="Calibri" w:hAnsi="Calibri" w:cs="Calibri"/>
        </w:rPr>
        <w:t>—</w:t>
      </w:r>
      <w:r>
        <w:rPr>
          <w:rFonts w:ascii="Times New Roman" w:eastAsia="Times New Roman" w:hAnsi="Times New Roman" w:cs="Times New Roman"/>
          <w:sz w:val="24"/>
          <w:szCs w:val="24"/>
        </w:rPr>
        <w:t xml:space="preserve"> was sold to other companies, usually without the consumer’s knowledge or consent. That means the personal data was stolen and/or abused; perhaps these “data flows” should be renamed “trafficking in stolen information.” As previously mentioned, the EU has standard-setting rules on personal privacy and data protection that were democratically debated and enthusiastically approved by voters. Many US companies do not meet these standards, and are not allowed to transfer data into the US. A 2017 study, the “Global Survey on Internet Security and Trust,” conducted by the Centre for International Governance Innovation and Ipsos, showed that consumers are reluctant to engage in online purchases because they don’t trust governments (65 percent); companies (74 percent); or that their data will be secure from cybercriminals (82 percent).</w:t>
      </w:r>
      <w:r w:rsidR="00E13685">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r w:rsidR="00E13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Last year, European groups sent a letter, as did international civil society,</w:t>
      </w:r>
      <w:r w:rsidR="00E13685">
        <w:rPr>
          <w:rStyle w:val="FootnoteReference"/>
          <w:rFonts w:ascii="Times New Roman" w:eastAsia="Times New Roman" w:hAnsi="Times New Roman" w:cs="Times New Roman"/>
          <w:sz w:val="24"/>
          <w:szCs w:val="24"/>
        </w:rPr>
        <w:footnoteReference w:id="12"/>
      </w:r>
      <w:r w:rsidR="00E13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urging the European Parliament to stand up for consumer protection and data privacy in the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xml:space="preserve"> </w:t>
      </w:r>
      <w:r>
        <w:rPr>
          <w:rFonts w:ascii="Calibri" w:eastAsia="Calibri" w:hAnsi="Calibri" w:cs="Calibri"/>
        </w:rPr>
        <w:t>—</w:t>
      </w:r>
      <w:r>
        <w:rPr>
          <w:rFonts w:ascii="Times New Roman" w:eastAsia="Times New Roman" w:hAnsi="Times New Roman" w:cs="Times New Roman"/>
          <w:sz w:val="24"/>
          <w:szCs w:val="24"/>
        </w:rPr>
        <w:t xml:space="preserve"> but these same provisions are being introduced in the WTO.</w:t>
      </w:r>
    </w:p>
    <w:p w14:paraId="25F3E6E8"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EE2AED" w14:textId="2FF81F2F"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 E-commerce proposals would promote tax evasion and loss of needed public revenue</w:t>
      </w:r>
      <w:r>
        <w:rPr>
          <w:rFonts w:ascii="Times New Roman" w:eastAsia="Times New Roman" w:hAnsi="Times New Roman" w:cs="Times New Roman"/>
          <w:sz w:val="24"/>
          <w:szCs w:val="24"/>
        </w:rPr>
        <w:t>, resulting in further monopolization at the expense of the public interest in all countries, but particularly in developing countries. As companies gain “rights” through the proposed e-commerce rules to more easily move labor, inputs, capital, and data across borders, they would be able to increase their transfer pricing practices and locate operations in countries with the least regulatory oversight and the lowest taxes, exacerbating the tax evasion and illicit financial flows that Global Financial Integrity recently identified as having drained US $620</w:t>
      </w:r>
      <w:r>
        <w:rPr>
          <w:rFonts w:ascii="Calibri" w:eastAsia="Calibri" w:hAnsi="Calibri" w:cs="Calibri"/>
        </w:rPr>
        <w:t>–</w:t>
      </w:r>
      <w:r>
        <w:rPr>
          <w:rFonts w:ascii="Times New Roman" w:eastAsia="Times New Roman" w:hAnsi="Times New Roman" w:cs="Times New Roman"/>
          <w:sz w:val="24"/>
          <w:szCs w:val="24"/>
        </w:rPr>
        <w:t xml:space="preserve">970 </w:t>
      </w:r>
      <w:r w:rsidRPr="0009214C">
        <w:rPr>
          <w:rFonts w:ascii="Times New Roman" w:eastAsia="Times New Roman" w:hAnsi="Times New Roman" w:cs="Times New Roman"/>
          <w:sz w:val="24"/>
          <w:szCs w:val="24"/>
        </w:rPr>
        <w:t>billion</w:t>
      </w:r>
      <w:r>
        <w:rPr>
          <w:rFonts w:ascii="Times New Roman" w:eastAsia="Times New Roman" w:hAnsi="Times New Roman" w:cs="Times New Roman"/>
          <w:sz w:val="24"/>
          <w:szCs w:val="24"/>
        </w:rPr>
        <w:t xml:space="preserve"> from the developing world in 2014, primarily through trade fraud.</w:t>
      </w:r>
      <w:r w:rsidR="00E13685">
        <w:rPr>
          <w:rStyle w:val="FootnoteReference"/>
          <w:rFonts w:ascii="Times New Roman" w:eastAsia="Times New Roman" w:hAnsi="Times New Roman" w:cs="Times New Roman"/>
          <w:sz w:val="24"/>
          <w:szCs w:val="24"/>
        </w:rPr>
        <w:footnoteReference w:id="13"/>
      </w:r>
      <w:r w:rsidR="00E13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These lost revenues starve developing country governments, particularly in Africa, of the ability to make needed domestic investments to provide health care, education, infrastructure, and the future development of their economies. If a company is not required to have a local presence, how can corporate profits be appropriately taxed? At the same time, efforts are underway to extend the existing moratorium in the WTO on tariffs on e-commerce transactions. Removing the obligation of tariffs on cross-border trade puts brick and mortar stores at a disadvantage compared to e-commerce, and is, in economic terms, a public subsidy for the online businesses, for no apparent social benefit. But given that developing countries depend to a far greater extent on tariffs as a source of fiscal revenue (to pay for education, health care, and infrastructure) than do developed countries (which have more advanced </w:t>
      </w:r>
      <w:r>
        <w:rPr>
          <w:rFonts w:ascii="Times New Roman" w:eastAsia="Times New Roman" w:hAnsi="Times New Roman" w:cs="Times New Roman"/>
          <w:sz w:val="24"/>
          <w:szCs w:val="24"/>
        </w:rPr>
        <w:lastRenderedPageBreak/>
        <w:t>systems of income, sales, and corporate taxes), eliminating e-commerce tariffs permanently would not only highly disadvantage brick-and-mortar stores, but would seriously impair developing countries’ ability to meet public investment needs, stunting their future development and increasing the likelihood of debt crises.</w:t>
      </w:r>
    </w:p>
    <w:p w14:paraId="03F17502"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2275F6" w14:textId="3366BF9E"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E-commerce proposals could increase the chance of a global financial crisis. </w:t>
      </w:r>
      <w:r>
        <w:rPr>
          <w:rFonts w:ascii="Times New Roman" w:eastAsia="Times New Roman" w:hAnsi="Times New Roman" w:cs="Times New Roman"/>
          <w:sz w:val="24"/>
          <w:szCs w:val="24"/>
        </w:rPr>
        <w:t>Allowing unrestricted cross-border trade in financial data</w:t>
      </w:r>
      <w:r>
        <w:rPr>
          <w:rFonts w:ascii="Times New Roman" w:eastAsia="Times New Roman" w:hAnsi="Times New Roman" w:cs="Times New Roman"/>
          <w:b/>
          <w:sz w:val="24"/>
          <w:szCs w:val="24"/>
        </w:rPr>
        <w:t xml:space="preserve"> </w:t>
      </w:r>
      <w:r>
        <w:rPr>
          <w:rFonts w:ascii="Calibri" w:eastAsia="Calibri" w:hAnsi="Calibri" w:cs="Calibri"/>
        </w:rPr>
        <w:t>—</w:t>
      </w:r>
      <w:r>
        <w:rPr>
          <w:rFonts w:ascii="Times New Roman" w:eastAsia="Times New Roman" w:hAnsi="Times New Roman" w:cs="Times New Roman"/>
          <w:sz w:val="24"/>
          <w:szCs w:val="24"/>
        </w:rPr>
        <w:t xml:space="preserve"> and financial transactions </w:t>
      </w:r>
      <w:r>
        <w:rPr>
          <w:rFonts w:ascii="Calibri" w:eastAsia="Calibri" w:hAnsi="Calibri" w:cs="Calibri"/>
        </w:rPr>
        <w:t>—</w:t>
      </w:r>
      <w:r>
        <w:rPr>
          <w:rFonts w:ascii="Times New Roman" w:eastAsia="Times New Roman" w:hAnsi="Times New Roman" w:cs="Times New Roman"/>
          <w:sz w:val="24"/>
          <w:szCs w:val="24"/>
        </w:rPr>
        <w:t xml:space="preserve"> could bring vast unforeseen consequences. Despite the havoc wreaked by the global financial crisis, the financial services sector continues to demand unrestricted access to markets for innovative (regulation-evading) products and unrestricted financial flows. In the TPP, the US Treasury said the right to hold data offshore should not include financial data, because of lessons learned in the global financial crisis, but Wall Street successfully lobbied to have this data included in the </w:t>
      </w:r>
      <w:r w:rsidR="00292562">
        <w:rPr>
          <w:rFonts w:ascii="Times New Roman" w:eastAsia="Times New Roman" w:hAnsi="Times New Roman" w:cs="Times New Roman"/>
          <w:sz w:val="24"/>
          <w:szCs w:val="24"/>
        </w:rPr>
        <w:t>TiSA</w:t>
      </w:r>
      <w:r>
        <w:rPr>
          <w:rFonts w:ascii="Times New Roman" w:eastAsia="Times New Roman" w:hAnsi="Times New Roman" w:cs="Times New Roman"/>
          <w:sz w:val="24"/>
          <w:szCs w:val="24"/>
        </w:rPr>
        <w:t>, and presumably in the WTO. Existing WTO rules already oblige countries to allow unrestricted payments and transfers for services that countries have agreed to, subject to WTO disciplines. But countries have an interest in ensuring proper regulatory oversight of this sector, including with regard to cross-border digital trade. Governments often require sensitive financial data to be kept onshore to ensure that adequate privacy and cybersecurity measures are taken, so that the data is subject to proper national regulatory oversight, and so that it is available to financial regulators in the event of an emergency. For example, South Africa requires financial data to be stored in-country so that regulators can review assets related to a bankruptcy, as fraudulent and predatory practices are rife in the financial sector. If financial service providers are not required to have a local presence, local management, or local data storage, how can they be held accountable when there is criminal behavior, or a financial crisis? As the global economy becomes increasingly “servicified” and cross-border digital trade increases, the power of financial services suppliers such as Visa and PayPal will grow, as these often act as clearinghouses for international transactions that bypass the financial sovereignty of central banks.</w:t>
      </w:r>
    </w:p>
    <w:p w14:paraId="02144CF7" w14:textId="77777777" w:rsidR="00B916CF" w:rsidRDefault="00B047BA" w:rsidP="004D35F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D9571A" w14:textId="268D974B"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 E-commerce proposals would harm development by diminishing policy space</w:t>
      </w:r>
      <w:r>
        <w:rPr>
          <w:rFonts w:ascii="Times New Roman" w:eastAsia="Times New Roman" w:hAnsi="Times New Roman" w:cs="Times New Roman"/>
          <w:sz w:val="24"/>
          <w:szCs w:val="24"/>
        </w:rPr>
        <w:t>, constraining developing countries’ ability to engage in digital industrialization by limiting commonly used strategies to boost growth and jobs. Corporate lobbies have been clear that they want localization requirements banned, such as those requiring a local presence in the country in order to conduct business transactions; the hiring of local workers; the use of local servers and computing facilit</w:t>
      </w:r>
      <w:r w:rsidR="0009214C">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in which they have invested; or the use of local content or inputs. But developing countries use these requirements to help ensure that allowing TNCs to operate in their economies will assist them in starting infant industries and working their way up the development ladder. The EU’s proposal also includes opening up government procurement ― a topic explicitly excluded from the current WTO round. Opening up public purchasing (such as by promoting privatization through public-private partnerships, or PPPs) would put SMEs that are typically favored in such contracts at a serious disadvantage vis-à-vis foreign TNCs (which usually enjoy advantages of scale and earlier public investments), meaning that more tax dollars would flow to foreign corporations instead of boosting the domestic economy.</w:t>
      </w:r>
    </w:p>
    <w:p w14:paraId="2FEF6334"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BD9BCF" w14:textId="07A01F9A"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e-commerce provisions also limit policy space by requiring countries, including Least Developed Countries (LDCs) to make on new commitments beyond those currently required under the WTO. LDCs are currently not required to take any commitments on the Trade-Related Investment Measures (TRIMS) agreement in the WTO, nor on the Trade-Related Aspects of Intellectual Property Rights (TRIPS) agreement. Proposals to prohibit requiring the disclosure of source codes are considered</w:t>
      </w:r>
      <w:r w:rsidR="0009214C">
        <w:rPr>
          <w:rFonts w:ascii="Times New Roman" w:eastAsia="Times New Roman" w:hAnsi="Times New Roman" w:cs="Times New Roman"/>
          <w:sz w:val="24"/>
          <w:szCs w:val="24"/>
        </w:rPr>
        <w:t xml:space="preserve"> “TRIMS-plus</w:t>
      </w:r>
      <w:r>
        <w:rPr>
          <w:rFonts w:ascii="Times New Roman" w:eastAsia="Times New Roman" w:hAnsi="Times New Roman" w:cs="Times New Roman"/>
          <w:sz w:val="24"/>
          <w:szCs w:val="24"/>
        </w:rPr>
        <w:t xml:space="preserve">” because they effectively ban technology transfer requirements (in that source code is a technology) that WTO members may currently allow under TRIMS rules. They are considered “TRIPS-plus” because they require stronger intellectual property protection than under TRIPS. Usually, when a government extends patent protections, the patent holder is required to disclose the invention, including </w:t>
      </w:r>
      <w:r>
        <w:rPr>
          <w:rFonts w:ascii="Times New Roman" w:eastAsia="Times New Roman" w:hAnsi="Times New Roman" w:cs="Times New Roman"/>
          <w:sz w:val="24"/>
          <w:szCs w:val="24"/>
        </w:rPr>
        <w:lastRenderedPageBreak/>
        <w:t xml:space="preserve">any source code, as a </w:t>
      </w:r>
      <w:r w:rsidRPr="0009214C">
        <w:rPr>
          <w:rFonts w:ascii="Times New Roman" w:eastAsia="Times New Roman" w:hAnsi="Times New Roman" w:cs="Times New Roman"/>
          <w:sz w:val="24"/>
          <w:szCs w:val="24"/>
        </w:rPr>
        <w:t>quid pro quo</w:t>
      </w:r>
      <w:r>
        <w:rPr>
          <w:rFonts w:ascii="Times New Roman" w:eastAsia="Times New Roman" w:hAnsi="Times New Roman" w:cs="Times New Roman"/>
          <w:sz w:val="24"/>
          <w:szCs w:val="24"/>
        </w:rPr>
        <w:t xml:space="preserve"> for government intervention to protect their invention. Finally, many of the new proposals would preclude developing countries from regional integration, which is widely viewed as essential for their development, as envisioned, for example, in the</w:t>
      </w:r>
      <w:hyperlink r:id="rId65">
        <w:r>
          <w:rPr>
            <w:rFonts w:ascii="Times New Roman" w:eastAsia="Times New Roman" w:hAnsi="Times New Roman" w:cs="Times New Roman"/>
            <w:sz w:val="24"/>
            <w:szCs w:val="24"/>
          </w:rPr>
          <w:t xml:space="preserve"> </w:t>
        </w:r>
      </w:hyperlink>
      <w:hyperlink r:id="rId66">
        <w:r>
          <w:rPr>
            <w:rFonts w:ascii="Times New Roman" w:eastAsia="Times New Roman" w:hAnsi="Times New Roman" w:cs="Times New Roman"/>
            <w:color w:val="1155CC"/>
            <w:sz w:val="24"/>
            <w:szCs w:val="24"/>
            <w:u w:val="single"/>
          </w:rPr>
          <w:t>Africa</w:t>
        </w:r>
      </w:hyperlink>
      <w:hyperlink r:id="rId67" w:history="1">
        <w:r>
          <w:rPr>
            <w:rFonts w:ascii="Times New Roman" w:eastAsia="Times New Roman" w:hAnsi="Times New Roman" w:cs="Times New Roman"/>
            <w:color w:val="1155CC"/>
            <w:sz w:val="24"/>
            <w:szCs w:val="24"/>
            <w:u w:val="single"/>
          </w:rPr>
          <w:t>n Union’s</w:t>
        </w:r>
      </w:hyperlink>
      <w:hyperlink r:id="rId68">
        <w:r>
          <w:rPr>
            <w:rFonts w:ascii="Times New Roman" w:eastAsia="Times New Roman" w:hAnsi="Times New Roman" w:cs="Times New Roman"/>
            <w:color w:val="1155CC"/>
            <w:sz w:val="24"/>
            <w:szCs w:val="24"/>
            <w:u w:val="single"/>
          </w:rPr>
          <w:t xml:space="preserve"> </w:t>
        </w:r>
      </w:hyperlink>
      <w:hyperlink r:id="rId69">
        <w:r>
          <w:rPr>
            <w:rFonts w:ascii="Times New Roman" w:eastAsia="Times New Roman" w:hAnsi="Times New Roman" w:cs="Times New Roman"/>
            <w:color w:val="1155CC"/>
            <w:sz w:val="24"/>
            <w:szCs w:val="24"/>
            <w:u w:val="single"/>
          </w:rPr>
          <w:t>Agend</w:t>
        </w:r>
      </w:hyperlink>
      <w:hyperlink r:id="rId70" w:history="1">
        <w:r>
          <w:rPr>
            <w:rFonts w:ascii="Times New Roman" w:eastAsia="Times New Roman" w:hAnsi="Times New Roman" w:cs="Times New Roman"/>
            <w:color w:val="1155CC"/>
            <w:sz w:val="24"/>
            <w:szCs w:val="24"/>
            <w:u w:val="single"/>
          </w:rPr>
          <w:t xml:space="preserve">a </w:t>
        </w:r>
      </w:hyperlink>
      <w:hyperlink r:id="rId71" w:history="1">
        <w:r>
          <w:rPr>
            <w:rFonts w:ascii="Times New Roman" w:eastAsia="Times New Roman" w:hAnsi="Times New Roman" w:cs="Times New Roman"/>
            <w:color w:val="1155CC"/>
            <w:sz w:val="24"/>
            <w:szCs w:val="24"/>
            <w:u w:val="single"/>
          </w:rPr>
          <w:t>2063</w:t>
        </w:r>
      </w:hyperlink>
      <w:r>
        <w:rPr>
          <w:rFonts w:ascii="Times New Roman" w:eastAsia="Times New Roman" w:hAnsi="Times New Roman" w:cs="Times New Roman"/>
          <w:sz w:val="24"/>
          <w:szCs w:val="24"/>
        </w:rPr>
        <w:t>.</w:t>
      </w:r>
    </w:p>
    <w:p w14:paraId="3E0F067A" w14:textId="77777777" w:rsidR="00B916CF" w:rsidRDefault="00B047BA" w:rsidP="004D35F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1784B96" w14:textId="717B072C"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 Perhaps most egregiously, e-commerce proposals would require that future services be subject to no regulations beyond those for non</w:t>
      </w:r>
      <w:r w:rsidR="00BD6D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digitalized services today</w:t>
      </w:r>
      <w:r>
        <w:rPr>
          <w:rFonts w:ascii="Times New Roman" w:eastAsia="Times New Roman" w:hAnsi="Times New Roman" w:cs="Times New Roman"/>
          <w:sz w:val="24"/>
          <w:szCs w:val="24"/>
        </w:rPr>
        <w:t xml:space="preserve">. Under “Domestic Regulation” discussions in the General Agreement on Trade in Services (GATS), goods are increasingly being considered as services.  Products are embedded with software that transforms them from, e.g., shoes into “fitness services,” or cars into “transportation services.” Proposals in the Domestic Regulation negotiations include a presumption of “technological neutrality” </w:t>
      </w:r>
      <w:r>
        <w:rPr>
          <w:rFonts w:ascii="Calibri" w:eastAsia="Calibri" w:hAnsi="Calibri" w:cs="Calibri"/>
        </w:rPr>
        <w:t>—</w:t>
      </w:r>
      <w:r>
        <w:rPr>
          <w:rFonts w:ascii="Times New Roman" w:eastAsia="Times New Roman" w:hAnsi="Times New Roman" w:cs="Times New Roman"/>
          <w:sz w:val="24"/>
          <w:szCs w:val="24"/>
        </w:rPr>
        <w:t xml:space="preserve"> wherein services must be operated in line with rules and schedules of commitments that countries agreed to before the new technology was invented. The intent is to future-proof commitments, even if the technology wasn’t available when the country made those commitments. However, many </w:t>
      </w:r>
      <w:r w:rsidR="0009214C">
        <w:rPr>
          <w:rFonts w:ascii="Times New Roman" w:eastAsia="Times New Roman" w:hAnsi="Times New Roman" w:cs="Times New Roman"/>
          <w:sz w:val="24"/>
          <w:szCs w:val="24"/>
        </w:rPr>
        <w:t>g</w:t>
      </w:r>
      <w:r>
        <w:rPr>
          <w:rFonts w:ascii="Times New Roman" w:eastAsia="Times New Roman" w:hAnsi="Times New Roman" w:cs="Times New Roman"/>
          <w:sz w:val="24"/>
          <w:szCs w:val="24"/>
        </w:rPr>
        <w:t>lobal South governments have made it clear they don’t accept this presumption. Curtailing public oversight of the potential implications of technologies that don’t yet exist may make no sense to</w:t>
      </w:r>
      <w:r w:rsidR="005E58E1">
        <w:rPr>
          <w:rFonts w:ascii="Times New Roman" w:eastAsia="Times New Roman" w:hAnsi="Times New Roman" w:cs="Times New Roman"/>
          <w:sz w:val="24"/>
          <w:szCs w:val="24"/>
        </w:rPr>
        <w:t xml:space="preserve"> an average </w:t>
      </w:r>
      <w:r>
        <w:rPr>
          <w:rFonts w:ascii="Times New Roman" w:eastAsia="Times New Roman" w:hAnsi="Times New Roman" w:cs="Times New Roman"/>
          <w:sz w:val="24"/>
          <w:szCs w:val="24"/>
        </w:rPr>
        <w:t xml:space="preserve">person, but </w:t>
      </w:r>
      <w:r w:rsidR="005E58E1">
        <w:rPr>
          <w:rFonts w:ascii="Times New Roman" w:eastAsia="Times New Roman" w:hAnsi="Times New Roman" w:cs="Times New Roman"/>
          <w:sz w:val="24"/>
          <w:szCs w:val="24"/>
        </w:rPr>
        <w:t xml:space="preserve">makes </w:t>
      </w:r>
      <w:r>
        <w:rPr>
          <w:rFonts w:ascii="Times New Roman" w:eastAsia="Times New Roman" w:hAnsi="Times New Roman" w:cs="Times New Roman"/>
          <w:sz w:val="24"/>
          <w:szCs w:val="24"/>
        </w:rPr>
        <w:t>great sense to the corporations that favor only regulations that prohibit other regulations.</w:t>
      </w:r>
    </w:p>
    <w:p w14:paraId="5EF8AE74"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4986BD" w14:textId="65A84990"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corporations are making a coordinated effort to ensure that this is the principal deliverable at the upcoming eleventh WTO Ministerial Conference, which will be held December 11</w:t>
      </w:r>
      <w:r>
        <w:rPr>
          <w:rFonts w:ascii="Calibri" w:eastAsia="Calibri" w:hAnsi="Calibri" w:cs="Calibri"/>
        </w:rPr>
        <w:t>–</w:t>
      </w:r>
      <w:r>
        <w:rPr>
          <w:rFonts w:ascii="Times New Roman" w:eastAsia="Times New Roman" w:hAnsi="Times New Roman" w:cs="Times New Roman"/>
          <w:sz w:val="24"/>
          <w:szCs w:val="24"/>
        </w:rPr>
        <w:t>14, 2017 in Buenos Aires. Trade unions, privacy and digital rights activists, development advocates, and public interest groups have an opportunity to raise concerns with their respective governments to bring attention to this imminent threat. Even for groups with differences of opinion about the potential impacts, it is clear that a thorough and open debate should transpire before countries adopt rules, the implications of which are far from certain. While e-commerce advocates argue that any discussions in the WTO will have development at their heart, and that developing countries should be “at the table” when the rules are developed, WTO experts have cautioned that TNCs and rich country governments act in their own interests, and they are setting the agenda and the terms. Closing the digital divide requires smart strategies that would be constrained by the e-commerce proposals.</w:t>
      </w:r>
      <w:r w:rsidR="00E13685">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w:t>
      </w:r>
    </w:p>
    <w:p w14:paraId="70C2B808"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1AEDA9" w14:textId="31B7874E"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positive transformations that the digital era offers for increased prosperity, employment, innovation, and connectivity, are threatened by the monopolistic and undemocratic efforts of the most powerful corporations that want to rewrite the rules of the future global economy in their favor. To achieve a future in a digitalized world that creates shared prosperity and decent work for all, we must ensure that the rules are written by and for all, and not by and for only a few.</w:t>
      </w:r>
    </w:p>
    <w:p w14:paraId="191C55D2"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1522A4" w14:textId="77777777" w:rsidR="00B916CF" w:rsidRDefault="00B047BA" w:rsidP="004D35F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DEE71D" w14:textId="77777777" w:rsidR="00B916CF" w:rsidRDefault="00B047BA" w:rsidP="004D35F3">
      <w:pPr>
        <w:pStyle w:val="Normal1"/>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Deborah James is the Director of International Programs at the Center for Economic and Policy Research (</w:t>
      </w:r>
      <w:hyperlink r:id="rId72">
        <w:r>
          <w:rPr>
            <w:rFonts w:ascii="Times New Roman" w:eastAsia="Times New Roman" w:hAnsi="Times New Roman" w:cs="Times New Roman"/>
            <w:i/>
            <w:color w:val="1155CC"/>
            <w:sz w:val="24"/>
            <w:szCs w:val="24"/>
            <w:u w:val="single"/>
          </w:rPr>
          <w:t>www.cepr.net</w:t>
        </w:r>
      </w:hyperlink>
      <w:r>
        <w:rPr>
          <w:rFonts w:ascii="Times New Roman" w:eastAsia="Times New Roman" w:hAnsi="Times New Roman" w:cs="Times New Roman"/>
          <w:i/>
          <w:sz w:val="24"/>
          <w:szCs w:val="24"/>
        </w:rPr>
        <w:t>) and coordinates the global Our World Is Not for Sale (OWINFS) network.</w:t>
      </w:r>
    </w:p>
    <w:p w14:paraId="3A550EFD" w14:textId="77777777" w:rsidR="00B916CF" w:rsidRDefault="00B047BA" w:rsidP="004D35F3">
      <w:pPr>
        <w:pStyle w:val="Normal1"/>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C2CD660" w14:textId="3BD06710" w:rsidR="00B916CF" w:rsidRDefault="00B047BA" w:rsidP="004D35F3">
      <w:pPr>
        <w:pStyle w:val="Normal1"/>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She thanks Professor Jane Kelsey of the University of Auckland, New Zealand; Abhijit Das of the Centre for </w:t>
      </w:r>
      <w:r w:rsidR="00C37D76">
        <w:rPr>
          <w:rFonts w:ascii="Times New Roman" w:eastAsia="Times New Roman" w:hAnsi="Times New Roman" w:cs="Times New Roman"/>
          <w:i/>
          <w:sz w:val="24"/>
          <w:szCs w:val="24"/>
        </w:rPr>
        <w:t>WTO</w:t>
      </w:r>
      <w:bookmarkStart w:id="0" w:name="_GoBack"/>
      <w:bookmarkEnd w:id="0"/>
      <w:r>
        <w:rPr>
          <w:rFonts w:ascii="Times New Roman" w:eastAsia="Times New Roman" w:hAnsi="Times New Roman" w:cs="Times New Roman"/>
          <w:i/>
          <w:sz w:val="24"/>
          <w:szCs w:val="24"/>
        </w:rPr>
        <w:t xml:space="preserve"> Studies, India; Christina Colc</w:t>
      </w:r>
      <w:r w:rsidR="00BD6DB6">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ough of UNI Global Union; Parminder Jeet Singh of IT for Change, India; Burcu Kilic of Public Citizen, United States; and Sanya Reid Smith of the Third World Network, Geneva for their insights.</w:t>
      </w:r>
    </w:p>
    <w:p w14:paraId="0F29123F" w14:textId="77777777" w:rsidR="00B916CF" w:rsidRDefault="00B916CF" w:rsidP="004D35F3">
      <w:pPr>
        <w:pStyle w:val="Normal1"/>
        <w:spacing w:line="240" w:lineRule="auto"/>
        <w:rPr>
          <w:rFonts w:ascii="Times New Roman" w:eastAsia="Times New Roman" w:hAnsi="Times New Roman" w:cs="Times New Roman"/>
          <w:sz w:val="24"/>
          <w:szCs w:val="24"/>
        </w:rPr>
      </w:pPr>
    </w:p>
    <w:p w14:paraId="32F8455C" w14:textId="01CB4A44" w:rsidR="00B916CF" w:rsidRDefault="00C37D76" w:rsidP="004D35F3">
      <w:pPr>
        <w:pStyle w:val="Normal1"/>
        <w:spacing w:line="240" w:lineRule="auto"/>
      </w:pPr>
      <w:r>
        <w:pict w14:anchorId="798998C2">
          <v:rect id="_x0000_i1025" style="width:0;height:1.5pt" o:hralign="center" o:hrstd="t" o:hr="t" fillcolor="#a0a0a0" stroked="f"/>
        </w:pict>
      </w:r>
    </w:p>
    <w:sectPr w:rsidR="00B916CF" w:rsidSect="00132E2A">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20F2E" w14:textId="77777777" w:rsidR="00B87595" w:rsidRDefault="00B87595" w:rsidP="00274751">
      <w:pPr>
        <w:spacing w:line="240" w:lineRule="auto"/>
      </w:pPr>
      <w:r>
        <w:separator/>
      </w:r>
    </w:p>
  </w:endnote>
  <w:endnote w:type="continuationSeparator" w:id="0">
    <w:p w14:paraId="2EEAF9D5" w14:textId="77777777" w:rsidR="00B87595" w:rsidRDefault="00B87595" w:rsidP="00274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48E57" w14:textId="77777777" w:rsidR="00B87595" w:rsidRDefault="00B87595" w:rsidP="00274751">
      <w:pPr>
        <w:spacing w:line="240" w:lineRule="auto"/>
      </w:pPr>
      <w:r>
        <w:separator/>
      </w:r>
    </w:p>
  </w:footnote>
  <w:footnote w:type="continuationSeparator" w:id="0">
    <w:p w14:paraId="185D968B" w14:textId="77777777" w:rsidR="00B87595" w:rsidRDefault="00B87595" w:rsidP="00274751">
      <w:pPr>
        <w:spacing w:line="240" w:lineRule="auto"/>
      </w:pPr>
      <w:r>
        <w:continuationSeparator/>
      </w:r>
    </w:p>
  </w:footnote>
  <w:footnote w:id="1">
    <w:p w14:paraId="6F4B3121" w14:textId="0AB58B71" w:rsidR="00274751" w:rsidRDefault="00274751">
      <w:pPr>
        <w:pStyle w:val="FootnoteText"/>
      </w:pPr>
      <w:r>
        <w:rPr>
          <w:rStyle w:val="FootnoteReference"/>
        </w:rPr>
        <w:footnoteRef/>
      </w:r>
      <w:r>
        <w:t xml:space="preserve"> </w:t>
      </w:r>
      <w:r>
        <w:rPr>
          <w:rFonts w:ascii="Times New Roman" w:eastAsia="Times New Roman" w:hAnsi="Times New Roman" w:cs="Times New Roman"/>
        </w:rPr>
        <w:t>For the sake of simplicity, provisions repeated in many proposals are referred to here without identifying the multiple country sponsors of each provision or proposal. It should be noted that several developing economies have joined the papers of developed countries, e.g., the EU, but without any development provisions appearing to have been incorporated into those proposals.</w:t>
      </w:r>
    </w:p>
  </w:footnote>
  <w:footnote w:id="2">
    <w:p w14:paraId="7F6211FD" w14:textId="5EB3D043" w:rsidR="00274751" w:rsidRDefault="00274751">
      <w:pPr>
        <w:pStyle w:val="FootnoteText"/>
      </w:pPr>
      <w:r>
        <w:rPr>
          <w:rStyle w:val="FootnoteReference"/>
        </w:rPr>
        <w:footnoteRef/>
      </w:r>
      <w:r>
        <w:t xml:space="preserve"> </w:t>
      </w:r>
      <w:r>
        <w:rPr>
          <w:rFonts w:ascii="Times New Roman" w:eastAsia="Times New Roman" w:hAnsi="Times New Roman" w:cs="Times New Roman"/>
        </w:rPr>
        <w:t>World Bank. 2016. “World Development Report 2016: Digital Dividends.” Washington, DC.</w:t>
      </w:r>
    </w:p>
  </w:footnote>
  <w:footnote w:id="3">
    <w:p w14:paraId="5FBCA9C6" w14:textId="180E9802" w:rsidR="00274751" w:rsidRDefault="00274751">
      <w:pPr>
        <w:pStyle w:val="FootnoteText"/>
      </w:pPr>
      <w:r>
        <w:rPr>
          <w:rStyle w:val="FootnoteReference"/>
        </w:rPr>
        <w:footnoteRef/>
      </w:r>
      <w:r>
        <w:t xml:space="preserve"> </w:t>
      </w:r>
      <w:r>
        <w:rPr>
          <w:rFonts w:ascii="Times New Roman" w:eastAsia="Times New Roman" w:hAnsi="Times New Roman" w:cs="Times New Roman"/>
        </w:rPr>
        <w:t xml:space="preserve">Third World Network. 2016. “Africa Group's Deadly Blow to E-com Thematic or Negotiating Issues Talks.” </w:t>
      </w:r>
      <w:r w:rsidRPr="0009214C">
        <w:rPr>
          <w:rFonts w:ascii="Times New Roman" w:eastAsia="Times New Roman" w:hAnsi="Times New Roman" w:cs="Times New Roman"/>
          <w:i/>
        </w:rPr>
        <w:t>SUNS</w:t>
      </w:r>
      <w:r>
        <w:rPr>
          <w:rFonts w:ascii="Times New Roman" w:eastAsia="Times New Roman" w:hAnsi="Times New Roman" w:cs="Times New Roman"/>
        </w:rPr>
        <w:t xml:space="preserve"> 8337. http://www.twn.my/title2/wto.info/2016/ti161021.htm</w:t>
      </w:r>
    </w:p>
  </w:footnote>
  <w:footnote w:id="4">
    <w:p w14:paraId="78E746FA" w14:textId="56B3CF59" w:rsidR="00274751" w:rsidRPr="00274751" w:rsidRDefault="00274751">
      <w:pPr>
        <w:pStyle w:val="FootnoteText"/>
      </w:pPr>
      <w:r w:rsidRPr="00274751">
        <w:rPr>
          <w:rStyle w:val="FootnoteReference"/>
        </w:rPr>
        <w:footnoteRef/>
      </w:r>
      <w:r w:rsidRPr="00274751">
        <w:t xml:space="preserve"> </w:t>
      </w:r>
      <w:r w:rsidRPr="00274751">
        <w:rPr>
          <w:rFonts w:ascii="Times New Roman" w:eastAsia="Times New Roman" w:hAnsi="Times New Roman" w:cs="Times New Roman"/>
        </w:rPr>
        <w:t>A proposal by the Friends of E-Commerce for Development will likely meet this fate while legitimizing negotiations in the WTO. See</w:t>
      </w:r>
      <w:hyperlink r:id="rId1">
        <w:r w:rsidRPr="00274751">
          <w:rPr>
            <w:rFonts w:ascii="Times New Roman" w:eastAsia="Times New Roman" w:hAnsi="Times New Roman" w:cs="Times New Roman"/>
          </w:rPr>
          <w:t xml:space="preserve"> </w:t>
        </w:r>
      </w:hyperlink>
      <w:hyperlink r:id="rId2">
        <w:r w:rsidRPr="00274751">
          <w:rPr>
            <w:rFonts w:ascii="Times New Roman" w:eastAsia="Times New Roman" w:hAnsi="Times New Roman" w:cs="Times New Roman"/>
            <w:color w:val="1155CC"/>
            <w:u w:val="single"/>
          </w:rPr>
          <w:t>http://unctad.org/en/pages/newsdetails.aspx?OriginalVersionID=1477</w:t>
        </w:r>
      </w:hyperlink>
      <w:r w:rsidRPr="00274751">
        <w:rPr>
          <w:rFonts w:ascii="Times New Roman" w:eastAsia="Times New Roman" w:hAnsi="Times New Roman" w:cs="Times New Roman"/>
        </w:rPr>
        <w:t xml:space="preserve"> and</w:t>
      </w:r>
      <w:hyperlink r:id="rId3">
        <w:r w:rsidRPr="00274751">
          <w:rPr>
            <w:rFonts w:ascii="Times New Roman" w:eastAsia="Times New Roman" w:hAnsi="Times New Roman" w:cs="Times New Roman"/>
          </w:rPr>
          <w:t xml:space="preserve"> </w:t>
        </w:r>
      </w:hyperlink>
      <w:hyperlink r:id="rId4">
        <w:r w:rsidRPr="00274751">
          <w:rPr>
            <w:rFonts w:ascii="Times New Roman" w:eastAsia="Times New Roman" w:hAnsi="Times New Roman" w:cs="Times New Roman"/>
            <w:color w:val="1155CC"/>
            <w:u w:val="single"/>
          </w:rPr>
          <w:t>http://www.twn.my/title2/wto.info/2017/ti170501.htm</w:t>
        </w:r>
      </w:hyperlink>
      <w:r w:rsidRPr="00274751">
        <w:rPr>
          <w:rFonts w:ascii="Times New Roman" w:eastAsia="Times New Roman" w:hAnsi="Times New Roman" w:cs="Times New Roman"/>
        </w:rPr>
        <w:t>.</w:t>
      </w:r>
    </w:p>
  </w:footnote>
  <w:footnote w:id="5">
    <w:p w14:paraId="74144A43" w14:textId="42D5BA84" w:rsidR="00274751" w:rsidRPr="00274751" w:rsidRDefault="00274751">
      <w:pPr>
        <w:pStyle w:val="FootnoteText"/>
      </w:pPr>
      <w:r w:rsidRPr="00274751">
        <w:rPr>
          <w:rStyle w:val="FootnoteReference"/>
        </w:rPr>
        <w:footnoteRef/>
      </w:r>
      <w:r w:rsidRPr="00274751">
        <w:t xml:space="preserve"> </w:t>
      </w:r>
      <w:r w:rsidRPr="00274751">
        <w:rPr>
          <w:rFonts w:ascii="Times New Roman" w:eastAsia="Times New Roman" w:hAnsi="Times New Roman" w:cs="Times New Roman"/>
        </w:rPr>
        <w:t xml:space="preserve">Chief Information Officer, US Department of Defense.  DoD Open Source Software (OSS) FAQ. </w:t>
      </w:r>
      <w:hyperlink r:id="rId5">
        <w:r w:rsidRPr="00274751">
          <w:rPr>
            <w:rFonts w:ascii="Times New Roman" w:eastAsia="Times New Roman" w:hAnsi="Times New Roman" w:cs="Times New Roman"/>
            <w:color w:val="1155CC"/>
            <w:u w:val="single"/>
          </w:rPr>
          <w:t>http://dodcio.defense.gov/Open-Source-Software-FAQ/</w:t>
        </w:r>
      </w:hyperlink>
      <w:r w:rsidRPr="00274751">
        <w:rPr>
          <w:rFonts w:ascii="Times New Roman" w:eastAsia="Times New Roman" w:hAnsi="Times New Roman" w:cs="Times New Roman"/>
        </w:rPr>
        <w:t>.</w:t>
      </w:r>
    </w:p>
  </w:footnote>
  <w:footnote w:id="6">
    <w:p w14:paraId="4CDCFB02" w14:textId="18CB5677" w:rsidR="00274751" w:rsidRPr="00274751" w:rsidRDefault="00274751" w:rsidP="00274751">
      <w:pPr>
        <w:pStyle w:val="Normal1"/>
        <w:spacing w:line="240" w:lineRule="auto"/>
        <w:rPr>
          <w:rFonts w:ascii="Times New Roman" w:eastAsia="Times New Roman" w:hAnsi="Times New Roman" w:cs="Times New Roman"/>
          <w:sz w:val="20"/>
          <w:szCs w:val="20"/>
        </w:rPr>
      </w:pPr>
      <w:r w:rsidRPr="00274751">
        <w:rPr>
          <w:rStyle w:val="FootnoteReference"/>
          <w:sz w:val="20"/>
          <w:szCs w:val="20"/>
        </w:rPr>
        <w:footnoteRef/>
      </w:r>
      <w:r w:rsidRPr="00274751">
        <w:rPr>
          <w:sz w:val="20"/>
          <w:szCs w:val="20"/>
        </w:rPr>
        <w:t xml:space="preserve"> </w:t>
      </w:r>
      <w:r w:rsidRPr="00274751">
        <w:rPr>
          <w:rFonts w:ascii="Times New Roman" w:eastAsia="Times New Roman" w:hAnsi="Times New Roman" w:cs="Times New Roman"/>
          <w:sz w:val="20"/>
          <w:szCs w:val="20"/>
        </w:rPr>
        <w:t xml:space="preserve">Taplin, Jonathan. 2017. “Is It Time to Break Up Google?” </w:t>
      </w:r>
      <w:r w:rsidRPr="00274751">
        <w:rPr>
          <w:rFonts w:ascii="Times New Roman" w:eastAsia="Times New Roman" w:hAnsi="Times New Roman" w:cs="Times New Roman"/>
          <w:i/>
          <w:sz w:val="20"/>
          <w:szCs w:val="20"/>
        </w:rPr>
        <w:t>The New York Times</w:t>
      </w:r>
      <w:r w:rsidRPr="00274751">
        <w:rPr>
          <w:rFonts w:ascii="Times New Roman" w:eastAsia="Times New Roman" w:hAnsi="Times New Roman" w:cs="Times New Roman"/>
          <w:sz w:val="20"/>
          <w:szCs w:val="20"/>
        </w:rPr>
        <w:t xml:space="preserve">.  </w:t>
      </w:r>
      <w:hyperlink r:id="rId6" w:history="1">
        <w:r w:rsidRPr="00274751">
          <w:rPr>
            <w:rFonts w:ascii="Times New Roman" w:eastAsia="Times New Roman" w:hAnsi="Times New Roman" w:cs="Times New Roman"/>
            <w:color w:val="1155CC"/>
            <w:sz w:val="20"/>
            <w:szCs w:val="20"/>
            <w:u w:val="single"/>
          </w:rPr>
          <w:t>https://www.nytimes.com/2017/04/22/opinion/sunday/is-it-time-to-break-up-google.html?_r=0</w:t>
        </w:r>
      </w:hyperlink>
      <w:r w:rsidRPr="00274751">
        <w:rPr>
          <w:rFonts w:ascii="Times New Roman" w:eastAsia="Times New Roman" w:hAnsi="Times New Roman" w:cs="Times New Roman"/>
          <w:sz w:val="20"/>
          <w:szCs w:val="20"/>
        </w:rPr>
        <w:t xml:space="preserve"> </w:t>
      </w:r>
    </w:p>
  </w:footnote>
  <w:footnote w:id="7">
    <w:p w14:paraId="19986DBC" w14:textId="5AA05CFD" w:rsidR="00274751" w:rsidRDefault="00274751">
      <w:pPr>
        <w:pStyle w:val="FootnoteText"/>
      </w:pPr>
      <w:r>
        <w:rPr>
          <w:rStyle w:val="FootnoteReference"/>
        </w:rPr>
        <w:footnoteRef/>
      </w:r>
      <w:r>
        <w:t xml:space="preserve"> </w:t>
      </w:r>
      <w:r>
        <w:rPr>
          <w:rFonts w:ascii="Times New Roman" w:eastAsia="Times New Roman" w:hAnsi="Times New Roman" w:cs="Times New Roman"/>
        </w:rPr>
        <w:t xml:space="preserve">Manjoo, Farhad. 2017. “Uber Wants to Rule the World. First It Must Conquer India.” </w:t>
      </w:r>
      <w:r>
        <w:rPr>
          <w:rFonts w:ascii="Times New Roman" w:eastAsia="Times New Roman" w:hAnsi="Times New Roman" w:cs="Times New Roman"/>
          <w:i/>
        </w:rPr>
        <w:t>The New York Times</w:t>
      </w:r>
      <w:r>
        <w:rPr>
          <w:rFonts w:ascii="Times New Roman" w:eastAsia="Times New Roman" w:hAnsi="Times New Roman" w:cs="Times New Roman"/>
        </w:rPr>
        <w:t xml:space="preserve">. </w:t>
      </w:r>
      <w:hyperlink r:id="rId7" w:history="1">
        <w:r>
          <w:rPr>
            <w:rFonts w:ascii="Times New Roman" w:eastAsia="Times New Roman" w:hAnsi="Times New Roman" w:cs="Times New Roman"/>
            <w:color w:val="1155CC"/>
            <w:u w:val="single"/>
          </w:rPr>
          <w:t>https://www.nytimes.com/2017/04/14/technology/uber-india.html</w:t>
        </w:r>
      </w:hyperlink>
    </w:p>
  </w:footnote>
  <w:footnote w:id="8">
    <w:p w14:paraId="3A32A160" w14:textId="29CA6250" w:rsidR="00274751" w:rsidRDefault="00274751">
      <w:pPr>
        <w:pStyle w:val="FootnoteText"/>
      </w:pPr>
      <w:r>
        <w:rPr>
          <w:rStyle w:val="FootnoteReference"/>
        </w:rPr>
        <w:footnoteRef/>
      </w:r>
      <w:r>
        <w:t xml:space="preserve"> </w:t>
      </w:r>
      <w:r>
        <w:rPr>
          <w:rFonts w:ascii="Times New Roman" w:eastAsia="Times New Roman" w:hAnsi="Times New Roman" w:cs="Times New Roman"/>
        </w:rPr>
        <w:t>Bloomberg. 2016. “Amazon to Spend $5 Billion to Dominate India E-Commerce.”</w:t>
      </w:r>
    </w:p>
  </w:footnote>
  <w:footnote w:id="9">
    <w:p w14:paraId="54A61074" w14:textId="1D520BAA" w:rsidR="00E13685" w:rsidRDefault="00E13685">
      <w:pPr>
        <w:pStyle w:val="FootnoteText"/>
      </w:pPr>
      <w:r>
        <w:rPr>
          <w:rStyle w:val="FootnoteReference"/>
        </w:rPr>
        <w:footnoteRef/>
      </w:r>
      <w:r>
        <w:t xml:space="preserve"> </w:t>
      </w:r>
      <w:r w:rsidRPr="0009214C">
        <w:rPr>
          <w:rFonts w:ascii="Times New Roman" w:eastAsia="Times New Roman" w:hAnsi="Times New Roman" w:cs="Times New Roman"/>
          <w:i/>
        </w:rPr>
        <w:t>The Economist</w:t>
      </w:r>
      <w:r>
        <w:rPr>
          <w:rFonts w:ascii="Times New Roman" w:eastAsia="Times New Roman" w:hAnsi="Times New Roman" w:cs="Times New Roman"/>
        </w:rPr>
        <w:t xml:space="preserve">. 2017. “The World’s Most Valuable Resource Is No Longer Oil, but Data: The Data Economy Demands a New Approach to Antitrust Rules.”  </w:t>
      </w:r>
      <w:hyperlink r:id="rId8" w:history="1">
        <w:r>
          <w:rPr>
            <w:rFonts w:ascii="Times New Roman" w:eastAsia="Times New Roman" w:hAnsi="Times New Roman" w:cs="Times New Roman"/>
            <w:color w:val="1155CC"/>
            <w:u w:val="single"/>
          </w:rPr>
          <w:t>http://www.economist.com/news/leaders/21721656-data-economy-demands-new-approach-antitrust-rules-worlds-most-valuable-resource</w:t>
        </w:r>
      </w:hyperlink>
    </w:p>
  </w:footnote>
  <w:footnote w:id="10">
    <w:p w14:paraId="15296D3A" w14:textId="5666DC35" w:rsidR="00E13685" w:rsidRDefault="00E13685">
      <w:pPr>
        <w:pStyle w:val="FootnoteText"/>
      </w:pPr>
      <w:r>
        <w:rPr>
          <w:rStyle w:val="FootnoteReference"/>
        </w:rPr>
        <w:footnoteRef/>
      </w:r>
      <w:r>
        <w:t xml:space="preserve"> </w:t>
      </w:r>
      <w:r>
        <w:rPr>
          <w:rFonts w:ascii="Times New Roman" w:eastAsia="Times New Roman" w:hAnsi="Times New Roman" w:cs="Times New Roman"/>
        </w:rPr>
        <w:t xml:space="preserve">Singh, Parminder Jeet. 2017. “Developing Countries in the Emerging Global Digital Order – A Critical Geopolitical Challenge to which the Global South Must Respond.” IT for Change. </w:t>
      </w:r>
      <w:hyperlink r:id="rId9" w:history="1">
        <w:r>
          <w:rPr>
            <w:rFonts w:ascii="Times New Roman" w:eastAsia="Times New Roman" w:hAnsi="Times New Roman" w:cs="Times New Roman"/>
            <w:color w:val="1155CC"/>
            <w:u w:val="single"/>
          </w:rPr>
          <w:t>https://www.itforchange.net/Developing-Countries-in-the-Emerging-Global-Digital-Order</w:t>
        </w:r>
      </w:hyperlink>
    </w:p>
  </w:footnote>
  <w:footnote w:id="11">
    <w:p w14:paraId="7B0ADF20" w14:textId="336C107A" w:rsidR="00E13685" w:rsidRPr="00E13685" w:rsidRDefault="00E13685" w:rsidP="00E13685">
      <w:pPr>
        <w:pStyle w:val="Normal1"/>
        <w:spacing w:line="240" w:lineRule="auto"/>
        <w:rPr>
          <w:rFonts w:ascii="Times New Roman" w:eastAsia="Times New Roman" w:hAnsi="Times New Roman" w:cs="Times New Roman"/>
          <w:sz w:val="20"/>
          <w:szCs w:val="20"/>
        </w:rPr>
      </w:pPr>
      <w:r w:rsidRPr="00E13685">
        <w:rPr>
          <w:rStyle w:val="FootnoteReference"/>
          <w:sz w:val="20"/>
          <w:szCs w:val="20"/>
        </w:rPr>
        <w:footnoteRef/>
      </w:r>
      <w:r w:rsidRPr="00E13685">
        <w:rPr>
          <w:sz w:val="20"/>
          <w:szCs w:val="20"/>
        </w:rPr>
        <w:t xml:space="preserve"> </w:t>
      </w:r>
      <w:r w:rsidRPr="00E13685">
        <w:rPr>
          <w:rFonts w:ascii="Times New Roman" w:eastAsia="Times New Roman" w:hAnsi="Times New Roman" w:cs="Times New Roman"/>
          <w:sz w:val="20"/>
          <w:szCs w:val="20"/>
        </w:rPr>
        <w:t>Centre for International Governance Innovation, IPSOS, Internet Society, United Nations Conference on Trade &amp; Development, and International Development Research Center. 2017. “2017 CIGI-Ipsos Global Survey on Internet Security and Trust.” https://www.cigionline.org/internet-survey</w:t>
      </w:r>
    </w:p>
  </w:footnote>
  <w:footnote w:id="12">
    <w:p w14:paraId="54A6451F" w14:textId="7D99D33E" w:rsidR="00E13685" w:rsidRPr="00E13685" w:rsidRDefault="00E13685" w:rsidP="00E13685">
      <w:pPr>
        <w:pStyle w:val="Normal1"/>
        <w:spacing w:line="240" w:lineRule="auto"/>
        <w:rPr>
          <w:rFonts w:ascii="Times New Roman" w:eastAsia="Times New Roman" w:hAnsi="Times New Roman" w:cs="Times New Roman"/>
          <w:sz w:val="20"/>
          <w:szCs w:val="20"/>
        </w:rPr>
      </w:pPr>
      <w:r w:rsidRPr="00E13685">
        <w:rPr>
          <w:rStyle w:val="FootnoteReference"/>
          <w:sz w:val="20"/>
          <w:szCs w:val="20"/>
        </w:rPr>
        <w:footnoteRef/>
      </w:r>
      <w:r w:rsidRPr="00E13685">
        <w:rPr>
          <w:sz w:val="20"/>
          <w:szCs w:val="20"/>
        </w:rPr>
        <w:t xml:space="preserve"> </w:t>
      </w:r>
      <w:r w:rsidRPr="00E13685">
        <w:rPr>
          <w:rFonts w:ascii="Times New Roman" w:eastAsia="Times New Roman" w:hAnsi="Times New Roman" w:cs="Times New Roman"/>
          <w:sz w:val="20"/>
          <w:szCs w:val="20"/>
        </w:rPr>
        <w:t>Consumers International et al. to European Parliament trade negotiator. 2016. https://edri.org/files/TiSA/globalletter_dataprotection_privacy_20161102.pdf</w:t>
      </w:r>
    </w:p>
  </w:footnote>
  <w:footnote w:id="13">
    <w:p w14:paraId="504BBCD9" w14:textId="52BC7729" w:rsidR="00E13685" w:rsidRDefault="00E13685">
      <w:pPr>
        <w:pStyle w:val="FootnoteText"/>
      </w:pPr>
      <w:r w:rsidRPr="00E13685">
        <w:rPr>
          <w:rStyle w:val="FootnoteReference"/>
        </w:rPr>
        <w:footnoteRef/>
      </w:r>
      <w:r w:rsidRPr="00E13685">
        <w:t xml:space="preserve"> </w:t>
      </w:r>
      <w:r w:rsidRPr="00E13685">
        <w:rPr>
          <w:rFonts w:ascii="Times New Roman" w:eastAsia="Times New Roman" w:hAnsi="Times New Roman" w:cs="Times New Roman"/>
        </w:rPr>
        <w:t xml:space="preserve">Spanjers, Joseph and Matthew Salomon. 2017. “Illicit Financial Flows in Developing Countries Large and Persistent.” By Global Financial Integrity. Washington, DC. </w:t>
      </w:r>
      <w:hyperlink r:id="rId10" w:history="1">
        <w:r w:rsidRPr="00E13685">
          <w:rPr>
            <w:rFonts w:ascii="Times New Roman" w:eastAsia="Times New Roman" w:hAnsi="Times New Roman" w:cs="Times New Roman"/>
            <w:color w:val="1155CC"/>
            <w:u w:val="single"/>
          </w:rPr>
          <w:t>http://www.gfintegrity.org/report/illicit-financial-flows-to-and-from-developing-countries-2005-2014/</w:t>
        </w:r>
      </w:hyperlink>
    </w:p>
  </w:footnote>
  <w:footnote w:id="14">
    <w:p w14:paraId="5C9688F7" w14:textId="138102B3" w:rsidR="00E13685" w:rsidRDefault="00E13685">
      <w:pPr>
        <w:pStyle w:val="FootnoteText"/>
      </w:pPr>
      <w:r>
        <w:rPr>
          <w:rStyle w:val="FootnoteReference"/>
        </w:rPr>
        <w:footnoteRef/>
      </w:r>
      <w:r>
        <w:t xml:space="preserve"> </w:t>
      </w:r>
      <w:r>
        <w:rPr>
          <w:rFonts w:ascii="Times New Roman" w:eastAsia="Times New Roman" w:hAnsi="Times New Roman" w:cs="Times New Roman"/>
        </w:rPr>
        <w:t xml:space="preserve">South Centre. 2017. “The WTO’s Discussions on Electronic Commerce: Analytical Note.” Geneva. </w:t>
      </w:r>
      <w:hyperlink r:id="rId11" w:history="1">
        <w:r>
          <w:rPr>
            <w:rFonts w:ascii="Times New Roman" w:eastAsia="Times New Roman" w:hAnsi="Times New Roman" w:cs="Times New Roman"/>
            <w:color w:val="1155CC"/>
            <w:u w:val="single"/>
          </w:rPr>
          <w:t>https://www.southcentre.int/wp-content/uploads/2017/01/AN_TDP_2017_2_The-WTO%E2%80%99s-Discussions-on-Electronic-Commerce_EN-1.pdf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16CF"/>
    <w:rsid w:val="00034B2C"/>
    <w:rsid w:val="0009214C"/>
    <w:rsid w:val="00096C93"/>
    <w:rsid w:val="00132E2A"/>
    <w:rsid w:val="00274751"/>
    <w:rsid w:val="00292562"/>
    <w:rsid w:val="00364E32"/>
    <w:rsid w:val="004D35F3"/>
    <w:rsid w:val="005E58E1"/>
    <w:rsid w:val="005F28AD"/>
    <w:rsid w:val="005F74A6"/>
    <w:rsid w:val="007B45A3"/>
    <w:rsid w:val="007C1BB7"/>
    <w:rsid w:val="008D3491"/>
    <w:rsid w:val="0093585D"/>
    <w:rsid w:val="009435CB"/>
    <w:rsid w:val="00994C68"/>
    <w:rsid w:val="00A83B88"/>
    <w:rsid w:val="00A8599C"/>
    <w:rsid w:val="00B047BA"/>
    <w:rsid w:val="00B87595"/>
    <w:rsid w:val="00B916CF"/>
    <w:rsid w:val="00B958C4"/>
    <w:rsid w:val="00BD6DB6"/>
    <w:rsid w:val="00C37D76"/>
    <w:rsid w:val="00D742E7"/>
    <w:rsid w:val="00DA514B"/>
    <w:rsid w:val="00DD3D1E"/>
    <w:rsid w:val="00E13685"/>
    <w:rsid w:val="00FA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8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D34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91"/>
    <w:rPr>
      <w:rFonts w:ascii="Lucida Grande" w:hAnsi="Lucida Grande" w:cs="Lucida Grande"/>
      <w:sz w:val="18"/>
      <w:szCs w:val="18"/>
    </w:rPr>
  </w:style>
  <w:style w:type="paragraph" w:styleId="Revision">
    <w:name w:val="Revision"/>
    <w:hidden/>
    <w:uiPriority w:val="99"/>
    <w:semiHidden/>
    <w:rsid w:val="0009214C"/>
    <w:pPr>
      <w:spacing w:line="240" w:lineRule="auto"/>
    </w:pPr>
  </w:style>
  <w:style w:type="character" w:styleId="Hyperlink">
    <w:name w:val="Hyperlink"/>
    <w:basedOn w:val="DefaultParagraphFont"/>
    <w:uiPriority w:val="99"/>
    <w:unhideWhenUsed/>
    <w:rsid w:val="005F74A6"/>
    <w:rPr>
      <w:color w:val="0000FF" w:themeColor="hyperlink"/>
      <w:u w:val="single"/>
    </w:rPr>
  </w:style>
  <w:style w:type="paragraph" w:styleId="EndnoteText">
    <w:name w:val="endnote text"/>
    <w:basedOn w:val="Normal"/>
    <w:link w:val="EndnoteTextChar"/>
    <w:uiPriority w:val="99"/>
    <w:semiHidden/>
    <w:unhideWhenUsed/>
    <w:rsid w:val="00274751"/>
    <w:pPr>
      <w:spacing w:line="240" w:lineRule="auto"/>
    </w:pPr>
    <w:rPr>
      <w:sz w:val="20"/>
      <w:szCs w:val="20"/>
    </w:rPr>
  </w:style>
  <w:style w:type="character" w:customStyle="1" w:styleId="EndnoteTextChar">
    <w:name w:val="Endnote Text Char"/>
    <w:basedOn w:val="DefaultParagraphFont"/>
    <w:link w:val="EndnoteText"/>
    <w:uiPriority w:val="99"/>
    <w:semiHidden/>
    <w:rsid w:val="00274751"/>
    <w:rPr>
      <w:sz w:val="20"/>
      <w:szCs w:val="20"/>
    </w:rPr>
  </w:style>
  <w:style w:type="character" w:styleId="EndnoteReference">
    <w:name w:val="endnote reference"/>
    <w:basedOn w:val="DefaultParagraphFont"/>
    <w:uiPriority w:val="99"/>
    <w:semiHidden/>
    <w:unhideWhenUsed/>
    <w:rsid w:val="00274751"/>
    <w:rPr>
      <w:vertAlign w:val="superscript"/>
    </w:rPr>
  </w:style>
  <w:style w:type="paragraph" w:styleId="FootnoteText">
    <w:name w:val="footnote text"/>
    <w:basedOn w:val="Normal"/>
    <w:link w:val="FootnoteTextChar"/>
    <w:uiPriority w:val="99"/>
    <w:semiHidden/>
    <w:unhideWhenUsed/>
    <w:rsid w:val="00274751"/>
    <w:pPr>
      <w:spacing w:line="240" w:lineRule="auto"/>
    </w:pPr>
    <w:rPr>
      <w:sz w:val="20"/>
      <w:szCs w:val="20"/>
    </w:rPr>
  </w:style>
  <w:style w:type="character" w:customStyle="1" w:styleId="FootnoteTextChar">
    <w:name w:val="Footnote Text Char"/>
    <w:basedOn w:val="DefaultParagraphFont"/>
    <w:link w:val="FootnoteText"/>
    <w:uiPriority w:val="99"/>
    <w:semiHidden/>
    <w:rsid w:val="00274751"/>
    <w:rPr>
      <w:sz w:val="20"/>
      <w:szCs w:val="20"/>
    </w:rPr>
  </w:style>
  <w:style w:type="character" w:styleId="FootnoteReference">
    <w:name w:val="footnote reference"/>
    <w:basedOn w:val="DefaultParagraphFont"/>
    <w:uiPriority w:val="99"/>
    <w:semiHidden/>
    <w:unhideWhenUsed/>
    <w:rsid w:val="0027475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D34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91"/>
    <w:rPr>
      <w:rFonts w:ascii="Lucida Grande" w:hAnsi="Lucida Grande" w:cs="Lucida Grande"/>
      <w:sz w:val="18"/>
      <w:szCs w:val="18"/>
    </w:rPr>
  </w:style>
  <w:style w:type="paragraph" w:styleId="Revision">
    <w:name w:val="Revision"/>
    <w:hidden/>
    <w:uiPriority w:val="99"/>
    <w:semiHidden/>
    <w:rsid w:val="0009214C"/>
    <w:pPr>
      <w:spacing w:line="240" w:lineRule="auto"/>
    </w:pPr>
  </w:style>
  <w:style w:type="character" w:styleId="Hyperlink">
    <w:name w:val="Hyperlink"/>
    <w:basedOn w:val="DefaultParagraphFont"/>
    <w:uiPriority w:val="99"/>
    <w:unhideWhenUsed/>
    <w:rsid w:val="005F74A6"/>
    <w:rPr>
      <w:color w:val="0000FF" w:themeColor="hyperlink"/>
      <w:u w:val="single"/>
    </w:rPr>
  </w:style>
  <w:style w:type="paragraph" w:styleId="EndnoteText">
    <w:name w:val="endnote text"/>
    <w:basedOn w:val="Normal"/>
    <w:link w:val="EndnoteTextChar"/>
    <w:uiPriority w:val="99"/>
    <w:semiHidden/>
    <w:unhideWhenUsed/>
    <w:rsid w:val="00274751"/>
    <w:pPr>
      <w:spacing w:line="240" w:lineRule="auto"/>
    </w:pPr>
    <w:rPr>
      <w:sz w:val="20"/>
      <w:szCs w:val="20"/>
    </w:rPr>
  </w:style>
  <w:style w:type="character" w:customStyle="1" w:styleId="EndnoteTextChar">
    <w:name w:val="Endnote Text Char"/>
    <w:basedOn w:val="DefaultParagraphFont"/>
    <w:link w:val="EndnoteText"/>
    <w:uiPriority w:val="99"/>
    <w:semiHidden/>
    <w:rsid w:val="00274751"/>
    <w:rPr>
      <w:sz w:val="20"/>
      <w:szCs w:val="20"/>
    </w:rPr>
  </w:style>
  <w:style w:type="character" w:styleId="EndnoteReference">
    <w:name w:val="endnote reference"/>
    <w:basedOn w:val="DefaultParagraphFont"/>
    <w:uiPriority w:val="99"/>
    <w:semiHidden/>
    <w:unhideWhenUsed/>
    <w:rsid w:val="00274751"/>
    <w:rPr>
      <w:vertAlign w:val="superscript"/>
    </w:rPr>
  </w:style>
  <w:style w:type="paragraph" w:styleId="FootnoteText">
    <w:name w:val="footnote text"/>
    <w:basedOn w:val="Normal"/>
    <w:link w:val="FootnoteTextChar"/>
    <w:uiPriority w:val="99"/>
    <w:semiHidden/>
    <w:unhideWhenUsed/>
    <w:rsid w:val="00274751"/>
    <w:pPr>
      <w:spacing w:line="240" w:lineRule="auto"/>
    </w:pPr>
    <w:rPr>
      <w:sz w:val="20"/>
      <w:szCs w:val="20"/>
    </w:rPr>
  </w:style>
  <w:style w:type="character" w:customStyle="1" w:styleId="FootnoteTextChar">
    <w:name w:val="Footnote Text Char"/>
    <w:basedOn w:val="DefaultParagraphFont"/>
    <w:link w:val="FootnoteText"/>
    <w:uiPriority w:val="99"/>
    <w:semiHidden/>
    <w:rsid w:val="00274751"/>
    <w:rPr>
      <w:sz w:val="20"/>
      <w:szCs w:val="20"/>
    </w:rPr>
  </w:style>
  <w:style w:type="character" w:styleId="FootnoteReference">
    <w:name w:val="footnote reference"/>
    <w:basedOn w:val="DefaultParagraphFont"/>
    <w:uiPriority w:val="99"/>
    <w:semiHidden/>
    <w:unhideWhenUsed/>
    <w:rsid w:val="0027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huffingtonpost.com/deborah-james/the-leaks-go-on-before-an_b_10147030.html" TargetMode="External"/><Relationship Id="rId14" Type="http://schemas.openxmlformats.org/officeDocument/2006/relationships/hyperlink" Target="http://www.huffingtonpost.com/deborah-james/as-deadline-looms-wikilea_b_12491038.html" TargetMode="External"/><Relationship Id="rId15" Type="http://schemas.openxmlformats.org/officeDocument/2006/relationships/hyperlink" Target="http://www.huffingtonpost.com/deborah-james/as-deadline-looms-wikilea_b_12491038.html" TargetMode="External"/><Relationship Id="rId16" Type="http://schemas.openxmlformats.org/officeDocument/2006/relationships/hyperlink" Target="http://www.huffingtonpost.com/deborah-james/some-trade-deals-on-hold_b_13282998.html" TargetMode="External"/><Relationship Id="rId17" Type="http://schemas.openxmlformats.org/officeDocument/2006/relationships/hyperlink" Target="http://www.huffingtonpost.com/deborah-james/some-trade-deals-on-hold_b_13282998.html" TargetMode="External"/><Relationship Id="rId18" Type="http://schemas.openxmlformats.org/officeDocument/2006/relationships/hyperlink" Target="http://www.oecd.org/sti/recommendationsandpolicyguidances.htm" TargetMode="External"/><Relationship Id="rId19" Type="http://schemas.openxmlformats.org/officeDocument/2006/relationships/hyperlink" Target="http://www.oecd.org/sti/recommendationsandpolicyguidances.htm" TargetMode="External"/><Relationship Id="rId63" Type="http://schemas.openxmlformats.org/officeDocument/2006/relationships/hyperlink" Target="https://www.theguardian.com/technology/2017/mar/14/we-vibe-vibrator-tracking-users-sexual-habits" TargetMode="External"/><Relationship Id="rId64" Type="http://schemas.openxmlformats.org/officeDocument/2006/relationships/hyperlink" Target="https://www.theguardian.com/technology/2017/mar/14/we-vibe-vibrator-tracking-users-sexual-habits" TargetMode="External"/><Relationship Id="rId65" Type="http://schemas.openxmlformats.org/officeDocument/2006/relationships/hyperlink" Target="https://www.au.int/web/en/agenda2063" TargetMode="External"/><Relationship Id="rId66" Type="http://schemas.openxmlformats.org/officeDocument/2006/relationships/hyperlink" Target="https://www.au.int/web/en/agenda2063" TargetMode="External"/><Relationship Id="rId67" Type="http://schemas.openxmlformats.org/officeDocument/2006/relationships/hyperlink" Target="https://www.au.int/web/en/agenda2063" TargetMode="External"/><Relationship Id="rId68" Type="http://schemas.openxmlformats.org/officeDocument/2006/relationships/hyperlink" Target="https://www.au.int/web/en/agenda2063" TargetMode="External"/><Relationship Id="rId69" Type="http://schemas.openxmlformats.org/officeDocument/2006/relationships/hyperlink" Target="https://www.au.int/web/en/agenda2063" TargetMode="External"/><Relationship Id="rId50" Type="http://schemas.openxmlformats.org/officeDocument/2006/relationships/hyperlink" Target="http://data.worldbank.org/indicator/EG.ELC.ACCS.ZS" TargetMode="External"/><Relationship Id="rId51" Type="http://schemas.openxmlformats.org/officeDocument/2006/relationships/hyperlink" Target="http://data.worldbank.org/indicator/EG.ELC.ACCS.ZS" TargetMode="External"/><Relationship Id="rId52" Type="http://schemas.openxmlformats.org/officeDocument/2006/relationships/hyperlink" Target="http://data.worldbank.org/indicator/EG.ELC.ACCS.ZS" TargetMode="External"/><Relationship Id="rId53" Type="http://schemas.openxmlformats.org/officeDocument/2006/relationships/hyperlink" Target="http://data.worldbank.org/indicator/EG.ELC.ACCS.ZS" TargetMode="External"/><Relationship Id="rId54" Type="http://schemas.openxmlformats.org/officeDocument/2006/relationships/hyperlink" Target="http://data.worldbank.org/indicator/EG.ELC.ACCS.ZS" TargetMode="External"/><Relationship Id="rId55" Type="http://schemas.openxmlformats.org/officeDocument/2006/relationships/hyperlink" Target="http://data.worldbank.org/indicator/IT.NET.USER.P2" TargetMode="External"/><Relationship Id="rId56" Type="http://schemas.openxmlformats.org/officeDocument/2006/relationships/hyperlink" Target="http://data.worldbank.org/indicator/IT.NET.USER.P2" TargetMode="External"/><Relationship Id="rId57" Type="http://schemas.openxmlformats.org/officeDocument/2006/relationships/hyperlink" Target="https://www.nytimes.com/2017/04/14/technology/uber-india.html" TargetMode="External"/><Relationship Id="rId58" Type="http://schemas.openxmlformats.org/officeDocument/2006/relationships/hyperlink" Target="https://www.nytimes.com/2017/04/14/technology/uber-india.html" TargetMode="External"/><Relationship Id="rId59" Type="http://schemas.openxmlformats.org/officeDocument/2006/relationships/hyperlink" Target="http://www.bostonherald.com/business/business_markets/2017/04/bose_is_accused_of_recording_selling_audio_information" TargetMode="External"/><Relationship Id="rId40" Type="http://schemas.openxmlformats.org/officeDocument/2006/relationships/hyperlink" Target="http://fintechnews.ch/fintech/ubs-fourth-industrial-revolution-paper-addresses-how-extreme-automation-and-connectivity-will-affect-our-lives/3399/" TargetMode="External"/><Relationship Id="rId41" Type="http://schemas.openxmlformats.org/officeDocument/2006/relationships/hyperlink" Target="http://fintechnews.ch/fintech/ubs-fourth-industrial-revolution-paper-addresses-how-extreme-automation-and-connectivity-will-affect-our-lives/3399/" TargetMode="External"/><Relationship Id="rId42" Type="http://schemas.openxmlformats.org/officeDocument/2006/relationships/hyperlink" Target="http://fintechnews.ch/fintech/ubs-fourth-industrial-revolution-paper-addresses-how-extreme-automation-and-connectivity-will-affect-our-lives/3399/" TargetMode="External"/><Relationship Id="rId43" Type="http://schemas.openxmlformats.org/officeDocument/2006/relationships/hyperlink" Target="http://fintechnews.ch/fintech/ubs-fourth-industrial-revolution-paper-addresses-how-extreme-automation-and-connectivity-will-affect-our-lives/3399/" TargetMode="External"/><Relationship Id="rId44" Type="http://schemas.openxmlformats.org/officeDocument/2006/relationships/hyperlink" Target="http://data.worldbank.org/indicator/EG.ELC.ACCS.ZS" TargetMode="External"/><Relationship Id="rId45" Type="http://schemas.openxmlformats.org/officeDocument/2006/relationships/hyperlink" Target="http://data.worldbank.org/indicator/EG.ELC.ACCS.ZS" TargetMode="External"/><Relationship Id="rId46" Type="http://schemas.openxmlformats.org/officeDocument/2006/relationships/hyperlink" Target="http://data.worldbank.org/indicator/EG.ELC.ACCS.ZS" TargetMode="External"/><Relationship Id="rId47" Type="http://schemas.openxmlformats.org/officeDocument/2006/relationships/hyperlink" Target="http://data.worldbank.org/indicator/EG.ELC.ACCS.ZS" TargetMode="External"/><Relationship Id="rId48" Type="http://schemas.openxmlformats.org/officeDocument/2006/relationships/hyperlink" Target="http://data.worldbank.org/indicator/EG.ELC.ACCS.ZS" TargetMode="External"/><Relationship Id="rId49" Type="http://schemas.openxmlformats.org/officeDocument/2006/relationships/hyperlink" Target="http://data.worldbank.org/indicator/EG.ELC.ACCS.ZS"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entry/5915db61e4b0bd90f8e6a48a" TargetMode="External"/><Relationship Id="rId9" Type="http://schemas.openxmlformats.org/officeDocument/2006/relationships/hyperlink" Target="https://opendigital.trade/" TargetMode="External"/><Relationship Id="rId30" Type="http://schemas.openxmlformats.org/officeDocument/2006/relationships/hyperlink" Target="http://notforsale.mayfirst.org/en/signon/wto-turnaround-2013-food-jobs-and-sustainable-development-first-statement" TargetMode="External"/><Relationship Id="rId31" Type="http://schemas.openxmlformats.org/officeDocument/2006/relationships/hyperlink" Target="http://notforsale.mayfirst.org/en/signon/wto-turnaround-2013-food-jobs-and-sustainable-development-first-statement" TargetMode="External"/><Relationship Id="rId32" Type="http://schemas.openxmlformats.org/officeDocument/2006/relationships/hyperlink" Target="http://notforsale.mayfirst.org/en/signon/wto-turnaround-2013-food-jobs-and-sustainable-development-first-statement" TargetMode="External"/><Relationship Id="rId33" Type="http://schemas.openxmlformats.org/officeDocument/2006/relationships/hyperlink" Target="http://www.twn.my/title2/wto.info/2016/ti161021.htm" TargetMode="External"/><Relationship Id="rId34" Type="http://schemas.openxmlformats.org/officeDocument/2006/relationships/hyperlink" Target="https://www.nytimes.com/2017/04/10/opinion/the-gig-economys-false-promise.html" TargetMode="External"/><Relationship Id="rId35" Type="http://schemas.openxmlformats.org/officeDocument/2006/relationships/hyperlink" Target="https://www.nytimes.com/2017/04/10/opinion/the-gig-economys-false-promise.html" TargetMode="External"/><Relationship Id="rId36" Type="http://schemas.openxmlformats.org/officeDocument/2006/relationships/hyperlink" Target="https://www.nytimes.com/interactive/2017/04/02/technology/uber-drivers-psychological-tricks.html" TargetMode="External"/><Relationship Id="rId37" Type="http://schemas.openxmlformats.org/officeDocument/2006/relationships/hyperlink" Target="https://www.nytimes.com/interactive/2017/04/02/technology/uber-drivers-psychological-tricks.html" TargetMode="External"/><Relationship Id="rId38" Type="http://schemas.openxmlformats.org/officeDocument/2006/relationships/hyperlink" Target="http://www.worldbank.org/en/publication/wdr2016" TargetMode="External"/><Relationship Id="rId39" Type="http://schemas.openxmlformats.org/officeDocument/2006/relationships/hyperlink" Target="http://www.worldbank.org/en/publication/wdr2016" TargetMode="External"/><Relationship Id="rId70" Type="http://schemas.openxmlformats.org/officeDocument/2006/relationships/hyperlink" Target="https://www.au.int/web/en/agenda2063" TargetMode="External"/><Relationship Id="rId71" Type="http://schemas.openxmlformats.org/officeDocument/2006/relationships/hyperlink" Target="https://www.au.int/web/en/agenda2063" TargetMode="External"/><Relationship Id="rId72" Type="http://schemas.openxmlformats.org/officeDocument/2006/relationships/hyperlink" Target="http://www.cepr.net" TargetMode="External"/><Relationship Id="rId20" Type="http://schemas.openxmlformats.org/officeDocument/2006/relationships/hyperlink" Target="https://www.bmwi.de/Redaktion/DE/Downloads/G/g20-digital-economy-ministerial-declaration-english-version.pdf?__blob=publicationFile&amp;v=12" TargetMode="External"/><Relationship Id="rId21" Type="http://schemas.openxmlformats.org/officeDocument/2006/relationships/hyperlink" Target="https://www.bmwi.de/Redaktion/DE/Downloads/G/g20-digital-economy-ministerial-declaration-english-version.pdf?__blob=publicationFile&amp;v=12" TargetMode="External"/><Relationship Id="rId22" Type="http://schemas.openxmlformats.org/officeDocument/2006/relationships/hyperlink" Target="http://notforsale.mayfirst.org/en/signon/letter-civil-society-regarding-future-agenda-wto-negotiations" TargetMode="External"/><Relationship Id="rId23" Type="http://schemas.openxmlformats.org/officeDocument/2006/relationships/hyperlink" Target="http://notforsale.mayfirst.org/en/signon/letter-civil-society-regarding-future-agenda-wto-negotiations" TargetMode="External"/><Relationship Id="rId24" Type="http://schemas.openxmlformats.org/officeDocument/2006/relationships/hyperlink" Target="http://www.huffingtonpost.com/deborah-james/anti-hunger-groups-make-i_b_8812522.html" TargetMode="External"/><Relationship Id="rId25" Type="http://schemas.openxmlformats.org/officeDocument/2006/relationships/hyperlink" Target="http://www.huffingtonpost.com/deborah-james/anti-hunger-groups-make-i_b_8812522.html" TargetMode="External"/><Relationship Id="rId26" Type="http://schemas.openxmlformats.org/officeDocument/2006/relationships/hyperlink" Target="http://www.alternet.org/world/investing-agriculture-developing-countries-whole-world-says-yes-wto-says-no" TargetMode="External"/><Relationship Id="rId27" Type="http://schemas.openxmlformats.org/officeDocument/2006/relationships/hyperlink" Target="http://www.alternet.org/world/investing-agriculture-developing-countries-whole-world-says-yes-wto-says-no" TargetMode="External"/><Relationship Id="rId28" Type="http://schemas.openxmlformats.org/officeDocument/2006/relationships/hyperlink" Target="http://notforsale.mayfirst.org/en/signon/wto-turnaround-2013-food-jobs-and-sustainable-development-first-statement" TargetMode="External"/><Relationship Id="rId29" Type="http://schemas.openxmlformats.org/officeDocument/2006/relationships/hyperlink" Target="http://notforsale.mayfirst.org/en/signon/wto-turnaround-2013-food-jobs-and-sustainable-development-first-statement"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www.bostonherald.com/business/business_markets/2017/04/bose_is_accused_of_recording_selling_audio_information" TargetMode="External"/><Relationship Id="rId61" Type="http://schemas.openxmlformats.org/officeDocument/2006/relationships/hyperlink" Target="https://www.nytimes.com/2017/04/24/technology/personal-data-firm-slice-unroll-me-backlash-uber.html" TargetMode="External"/><Relationship Id="rId62" Type="http://schemas.openxmlformats.org/officeDocument/2006/relationships/hyperlink" Target="https://www.nytimes.com/2017/04/24/technology/personal-data-firm-slice-unroll-me-backlash-uber.html" TargetMode="External"/><Relationship Id="rId10" Type="http://schemas.openxmlformats.org/officeDocument/2006/relationships/hyperlink" Target="https://opendigital.trade/" TargetMode="External"/><Relationship Id="rId11" Type="http://schemas.openxmlformats.org/officeDocument/2006/relationships/hyperlink" Target="http://www.huffingtonpost.com/deborah-james/just-before-round-of-nego_b_7715478.html" TargetMode="External"/><Relationship Id="rId12" Type="http://schemas.openxmlformats.org/officeDocument/2006/relationships/hyperlink" Target="http://www.huffingtonpost.com/deborah-james/just-before-round-of-nego_b_7715478.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wn.my/title2/wto.info/2017/ti170501.htm" TargetMode="External"/><Relationship Id="rId4" Type="http://schemas.openxmlformats.org/officeDocument/2006/relationships/hyperlink" Target="http://www.twn.my/title2/wto.info/2017/ti170501.htm" TargetMode="External"/><Relationship Id="rId5" Type="http://schemas.openxmlformats.org/officeDocument/2006/relationships/hyperlink" Target="http://dodcio.defense.gov/Open-Source-Software-FAQ/" TargetMode="External"/><Relationship Id="rId6" Type="http://schemas.openxmlformats.org/officeDocument/2006/relationships/hyperlink" Target="https://www.nytimes.com/2017/04/22/opinion/sunday/is-it-time-to-break-up-google.html?_r=0" TargetMode="External"/><Relationship Id="rId7" Type="http://schemas.openxmlformats.org/officeDocument/2006/relationships/hyperlink" Target="https://www.nytimes.com/2017/04/14/technology/uber-india.html" TargetMode="External"/><Relationship Id="rId8" Type="http://schemas.openxmlformats.org/officeDocument/2006/relationships/hyperlink" Target="http://www.economist.com/news/leaders/21721656-data-economy-demands-new-approach-antitrust-rules-worlds-most-valuable-resource" TargetMode="External"/><Relationship Id="rId9" Type="http://schemas.openxmlformats.org/officeDocument/2006/relationships/hyperlink" Target="https://www.itforchange.net/Developing-Countries-in-the-Emerging-Global-Digital-Order" TargetMode="External"/><Relationship Id="rId10" Type="http://schemas.openxmlformats.org/officeDocument/2006/relationships/hyperlink" Target="http://www.gfintegrity.org/report/illicit-financial-flows-to-and-from-developing-countries-2005-2014/" TargetMode="External"/><Relationship Id="rId11" Type="http://schemas.openxmlformats.org/officeDocument/2006/relationships/hyperlink" Target="https://www.southcentre.int/wp-content/uploads/2017/01/AN_TDP_2017_2_The-WTO%E2%80%99s-Discussions-on-Electronic-Commerce_EN-1.pdf" TargetMode="External"/><Relationship Id="rId1" Type="http://schemas.openxmlformats.org/officeDocument/2006/relationships/hyperlink" Target="http://unctad.org/en/pages/newsdetails.aspx?OriginalVersionID=1477" TargetMode="External"/><Relationship Id="rId2" Type="http://schemas.openxmlformats.org/officeDocument/2006/relationships/hyperlink" Target="http://unctad.org/en/pages/newsdetails.aspx?OriginalVersionID=1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E67B3D9-887D-8A41-8BF2-503A0125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5478</Words>
  <Characters>31226</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dbeeton</dc:creator>
  <cp:lastModifiedBy>Deborah James</cp:lastModifiedBy>
  <cp:revision>4</cp:revision>
  <cp:lastPrinted>2017-05-17T12:58:00Z</cp:lastPrinted>
  <dcterms:created xsi:type="dcterms:W3CDTF">2017-05-17T12:58:00Z</dcterms:created>
  <dcterms:modified xsi:type="dcterms:W3CDTF">2017-06-06T07:55:00Z</dcterms:modified>
</cp:coreProperties>
</file>